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7C70C7" w:rsidRDefault="001450DB" w:rsidP="00B724CE">
      <w:pPr>
        <w:pStyle w:val="FyrirsgnrauFMEbaratitill"/>
        <w:spacing w:after="120"/>
        <w:jc w:val="center"/>
        <w:rPr>
          <w:rFonts w:ascii="Times New Roman" w:hAnsi="Times New Roman" w:cs="Times New Roman"/>
          <w:color w:val="000000" w:themeColor="text1"/>
          <w:lang w:val="is-IS"/>
        </w:rPr>
      </w:pPr>
      <w:r w:rsidRPr="007C70C7">
        <w:rPr>
          <w:rFonts w:ascii="Times New Roman" w:hAnsi="Times New Roman" w:cs="Times New Roman"/>
          <w:color w:val="000000" w:themeColor="text1"/>
          <w:lang w:val="is-IS"/>
        </w:rPr>
        <w:t>9</w:t>
      </w:r>
      <w:r w:rsidR="00B724CE" w:rsidRPr="007C70C7">
        <w:rPr>
          <w:rFonts w:ascii="Times New Roman" w:hAnsi="Times New Roman" w:cs="Times New Roman"/>
          <w:color w:val="000000" w:themeColor="text1"/>
          <w:lang w:val="is-IS"/>
        </w:rPr>
        <w:t>. VIÐAUKI</w:t>
      </w:r>
    </w:p>
    <w:p w:rsidR="00FA27CA" w:rsidRPr="007C70C7" w:rsidRDefault="00FA27CA" w:rsidP="00FA27CA">
      <w:pPr>
        <w:pStyle w:val="Meginml"/>
        <w:jc w:val="center"/>
        <w:rPr>
          <w:rFonts w:ascii="Times New Roman" w:hAnsi="Times New Roman" w:cs="Times New Roman"/>
          <w:sz w:val="24"/>
        </w:rPr>
      </w:pPr>
      <w:r w:rsidRPr="007C70C7">
        <w:rPr>
          <w:rFonts w:ascii="Times New Roman" w:hAnsi="Times New Roman" w:cs="Times New Roman"/>
          <w:sz w:val="24"/>
        </w:rPr>
        <w:t>ÚTGEFANDALÝSING FYRIR EIGNAVARIN VERÐBRÉF</w:t>
      </w:r>
    </w:p>
    <w:p w:rsidR="00B724CE" w:rsidRPr="007C70C7" w:rsidRDefault="00B724CE" w:rsidP="00B724CE">
      <w:pPr>
        <w:pStyle w:val="KaflaheitiFME"/>
        <w:spacing w:before="120"/>
        <w:jc w:val="center"/>
        <w:rPr>
          <w:rFonts w:ascii="Times New Roman" w:eastAsiaTheme="minorHAnsi" w:hAnsi="Times New Roman" w:cs="Times New Roman"/>
          <w:sz w:val="20"/>
          <w:szCs w:val="20"/>
          <w:lang w:val="is-IS"/>
        </w:rPr>
      </w:pPr>
      <w:r w:rsidRPr="007C70C7">
        <w:rPr>
          <w:rFonts w:ascii="Times New Roman" w:hAnsi="Times New Roman" w:cs="Times New Roman"/>
          <w:sz w:val="20"/>
          <w:szCs w:val="20"/>
          <w:lang w:val="is-IS"/>
        </w:rPr>
        <w:t>FRAMSELD REGL</w:t>
      </w:r>
      <w:r w:rsidR="00FB1772" w:rsidRPr="007C70C7">
        <w:rPr>
          <w:rFonts w:ascii="Times New Roman" w:hAnsi="Times New Roman" w:cs="Times New Roman"/>
          <w:sz w:val="20"/>
          <w:szCs w:val="20"/>
          <w:lang w:val="is-IS"/>
        </w:rPr>
        <w:t>U</w:t>
      </w:r>
      <w:r w:rsidRPr="007C70C7">
        <w:rPr>
          <w:rFonts w:ascii="Times New Roman" w:hAnsi="Times New Roman" w:cs="Times New Roman"/>
          <w:sz w:val="20"/>
          <w:szCs w:val="20"/>
          <w:lang w:val="is-IS"/>
        </w:rPr>
        <w:t xml:space="preserve">GERÐ FRAMKVÆMDASTJÓRNARINNAR </w:t>
      </w:r>
      <w:r w:rsidR="001450DB" w:rsidRPr="007C70C7">
        <w:rPr>
          <w:rFonts w:ascii="Times New Roman" w:hAnsi="Times New Roman" w:cs="Times New Roman"/>
          <w:sz w:val="20"/>
          <w:szCs w:val="20"/>
          <w:lang w:val="is-IS"/>
        </w:rPr>
        <w:t xml:space="preserve">(ESB) </w:t>
      </w:r>
      <w:r w:rsidRPr="007C70C7">
        <w:rPr>
          <w:rFonts w:ascii="Times New Roman" w:hAnsi="Times New Roman" w:cs="Times New Roman"/>
          <w:sz w:val="20"/>
          <w:szCs w:val="20"/>
          <w:lang w:val="is-IS"/>
        </w:rPr>
        <w:t>2019/980</w:t>
      </w:r>
    </w:p>
    <w:p w:rsidR="003A2E21" w:rsidRPr="007C70C7" w:rsidRDefault="003A2E21" w:rsidP="003A2E21">
      <w:pPr>
        <w:pStyle w:val="Meginml"/>
        <w:jc w:val="center"/>
        <w:rPr>
          <w:rFonts w:ascii="Times New Roman" w:hAnsi="Times New Roman" w:cs="Times New Roman"/>
        </w:rPr>
      </w:pPr>
    </w:p>
    <w:p w:rsidR="0056743C" w:rsidRPr="007C70C7" w:rsidRDefault="001450DB" w:rsidP="00184B00">
      <w:pPr>
        <w:pStyle w:val="Meginml"/>
        <w:rPr>
          <w:rFonts w:ascii="Times New Roman" w:hAnsi="Times New Roman" w:cs="Times New Roman"/>
          <w:lang w:val="is-IS" w:eastAsia="is-IS"/>
        </w:rPr>
      </w:pPr>
      <w:r w:rsidRPr="007C70C7">
        <w:rPr>
          <w:rFonts w:ascii="Times New Roman" w:hAnsi="Times New Roman" w:cs="Times New Roman"/>
          <w:lang w:val="is-IS" w:eastAsia="is-IS"/>
        </w:rPr>
        <w:t xml:space="preserve">Ef ósamræmi er á milli íslensks og ensks texta framseldrar reglugerðar framkvæmdastjórnarinnar (ESB) 2019/980 skal skýra íslenska textann með hliðsjón af enska textanum. Ef ósamræmi er á milli textans í þessu skjali og texta framseldrar reglugerðar framkvæmdastjórnarinnar (ESB) 2019/980 er það texti reglugerðarinnar sem gildir. </w:t>
      </w:r>
    </w:p>
    <w:p w:rsidR="007F6312" w:rsidRPr="007C70C7" w:rsidRDefault="007F6312" w:rsidP="0056743C">
      <w:pPr>
        <w:pStyle w:val="Meginml"/>
        <w:rPr>
          <w:rFonts w:ascii="Times New Roman" w:hAnsi="Times New Roman" w:cs="Times New Roman"/>
          <w:sz w:val="18"/>
          <w:szCs w:val="18"/>
        </w:rPr>
      </w:pPr>
    </w:p>
    <w:tbl>
      <w:tblPr>
        <w:tblStyle w:val="TableGrid"/>
        <w:tblW w:w="9351" w:type="dxa"/>
        <w:tblLook w:val="04A0" w:firstRow="1" w:lastRow="0" w:firstColumn="1" w:lastColumn="0" w:noHBand="0" w:noVBand="1"/>
      </w:tblPr>
      <w:tblGrid>
        <w:gridCol w:w="846"/>
        <w:gridCol w:w="1134"/>
        <w:gridCol w:w="7371"/>
      </w:tblGrid>
      <w:tr w:rsidR="0056743C" w:rsidRPr="007C70C7" w:rsidTr="0056743C">
        <w:tc>
          <w:tcPr>
            <w:tcW w:w="846" w:type="dxa"/>
            <w:tcBorders>
              <w:left w:val="nil"/>
            </w:tcBorders>
          </w:tcPr>
          <w:p w:rsidR="0056743C" w:rsidRPr="007C70C7" w:rsidRDefault="0056743C" w:rsidP="0056743C">
            <w:pPr>
              <w:pStyle w:val="Tflutexti"/>
              <w:spacing w:after="0"/>
              <w:rPr>
                <w:rFonts w:ascii="Times New Roman" w:hAnsi="Times New Roman" w:cs="Times New Roman"/>
                <w:sz w:val="18"/>
                <w:szCs w:val="18"/>
              </w:rPr>
            </w:pPr>
            <w:r w:rsidRPr="007C70C7">
              <w:rPr>
                <w:rFonts w:ascii="Times New Roman" w:hAnsi="Times New Roman" w:cs="Times New Roman"/>
                <w:sz w:val="18"/>
                <w:szCs w:val="18"/>
              </w:rPr>
              <w:t>Kafli nr.</w:t>
            </w:r>
          </w:p>
          <w:p w:rsidR="0056743C" w:rsidRPr="007C70C7" w:rsidRDefault="0056743C" w:rsidP="0056743C">
            <w:pPr>
              <w:pStyle w:val="Tflutexti"/>
              <w:spacing w:before="0"/>
              <w:rPr>
                <w:rFonts w:ascii="Times New Roman" w:hAnsi="Times New Roman" w:cs="Times New Roman"/>
                <w:sz w:val="18"/>
                <w:szCs w:val="18"/>
              </w:rPr>
            </w:pPr>
            <w:r w:rsidRPr="007C70C7">
              <w:rPr>
                <w:rFonts w:ascii="Times New Roman" w:hAnsi="Times New Roman" w:cs="Times New Roman"/>
                <w:sz w:val="18"/>
                <w:szCs w:val="18"/>
              </w:rPr>
              <w:t>Bls. nr.</w:t>
            </w:r>
          </w:p>
        </w:tc>
        <w:tc>
          <w:tcPr>
            <w:tcW w:w="1134" w:type="dxa"/>
          </w:tcPr>
          <w:p w:rsidR="0056743C" w:rsidRPr="007C70C7" w:rsidRDefault="0056743C"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1. ÞÁTTUR</w:t>
            </w:r>
          </w:p>
        </w:tc>
        <w:tc>
          <w:tcPr>
            <w:tcW w:w="7371" w:type="dxa"/>
            <w:tcBorders>
              <w:right w:val="nil"/>
            </w:tcBorders>
          </w:tcPr>
          <w:p w:rsidR="0056743C"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AÐILAR SEM BERA ÁBYRGÐ, UPPLÝSINGAR FRÁ ÞRIÐJU AÐILUM, SKÝRSLUR SÉRFRÆÐINGA OG STAÐFESTING LÖGBÆRS YFIRVALDS</w:t>
            </w:r>
          </w:p>
        </w:tc>
      </w:tr>
      <w:tr w:rsidR="0056743C" w:rsidRPr="007C70C7" w:rsidTr="0056743C">
        <w:tc>
          <w:tcPr>
            <w:tcW w:w="846" w:type="dxa"/>
            <w:tcBorders>
              <w:left w:val="nil"/>
            </w:tcBorders>
          </w:tcPr>
          <w:p w:rsidR="0056743C" w:rsidRPr="007C70C7" w:rsidRDefault="0056743C" w:rsidP="0056743C">
            <w:pPr>
              <w:pStyle w:val="Meginml"/>
              <w:rPr>
                <w:rFonts w:ascii="Times New Roman" w:hAnsi="Times New Roman" w:cs="Times New Roman"/>
                <w:sz w:val="18"/>
                <w:szCs w:val="18"/>
              </w:rPr>
            </w:pPr>
          </w:p>
        </w:tc>
        <w:tc>
          <w:tcPr>
            <w:tcW w:w="1134" w:type="dxa"/>
          </w:tcPr>
          <w:p w:rsidR="0056743C" w:rsidRPr="007C70C7" w:rsidRDefault="0056743C"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1.1.</w:t>
            </w:r>
          </w:p>
        </w:tc>
        <w:tc>
          <w:tcPr>
            <w:tcW w:w="7371" w:type="dxa"/>
            <w:tcBorders>
              <w:right w:val="nil"/>
            </w:tcBorders>
          </w:tcPr>
          <w:p w:rsidR="0056743C"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Tilgreina skal alla þá sem bera ábyrgð á þeim upplýsingum, eða einhverjum hlutum þeirra, sem veittar eru í útgefandalýsingunni og skal, í síðara tilfellinu, tilgreina slíka hluta upplýsinganna. Sé um að ræða ein</w:t>
            </w:r>
            <w:r w:rsidRPr="007C70C7">
              <w:rPr>
                <w:rFonts w:ascii="Times New Roman" w:hAnsi="Times New Roman" w:cs="Times New Roman"/>
                <w:sz w:val="18"/>
                <w:szCs w:val="18"/>
              </w:rPr>
              <w:softHyphen/>
              <w:t>staklinga, þ.m.t. í stjórn, framkvæmdastjórn eða eftirlitsstjórn útgefanda, skulu þeir tilgreindir með nafni og stöðuheiti. Sé um að ræða lögaðila skal tilgreina nafn þeirra og skráða skrifstofu.</w:t>
            </w:r>
          </w:p>
        </w:tc>
      </w:tr>
      <w:tr w:rsidR="0056743C" w:rsidRPr="007C70C7" w:rsidTr="0056743C">
        <w:tc>
          <w:tcPr>
            <w:tcW w:w="846" w:type="dxa"/>
            <w:tcBorders>
              <w:left w:val="nil"/>
            </w:tcBorders>
          </w:tcPr>
          <w:p w:rsidR="0056743C" w:rsidRPr="007C70C7" w:rsidRDefault="0056743C" w:rsidP="0056743C">
            <w:pPr>
              <w:pStyle w:val="Meginml"/>
              <w:rPr>
                <w:rFonts w:ascii="Times New Roman" w:hAnsi="Times New Roman" w:cs="Times New Roman"/>
                <w:sz w:val="18"/>
                <w:szCs w:val="18"/>
              </w:rPr>
            </w:pPr>
          </w:p>
        </w:tc>
        <w:tc>
          <w:tcPr>
            <w:tcW w:w="1134" w:type="dxa"/>
          </w:tcPr>
          <w:p w:rsidR="0056743C" w:rsidRPr="007C70C7" w:rsidRDefault="0056743C"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1.2.</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Yfirlýsing þeirra sem bera ábyrgð á útgefandalýsingu þess efnis að samkvæmt þeirra bestu vitund séu upplýsingarnar í útgefandalýsingunni í samræmi við staðreyndir og að engum upplýsingum sé sleppt úr henni sem gætu haft áhrif á áreiðanleika hennar.</w:t>
            </w:r>
          </w:p>
          <w:p w:rsidR="0056743C"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Eftir atvikum, yfirlýsing þeirra sem bera ábyrgð á tilteknum hlutum útgefandalýsingarinnar þess efnis að samkvæmt þeirra bestu vitund séu upplýsingarnar í þeim hlutum útgefandalýsingarinnar sem þeir bera ábyrgð á, í samræmi við staðreyndir og að engum upplýsingum sé sleppt úr þeim hlutum sem gætu haft áhrif á áreiðanleika hennar.</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1.3.</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Hafi verðbréfalýsing að geyma yfirl</w:t>
            </w:r>
            <w:bookmarkStart w:id="0" w:name="_GoBack"/>
            <w:bookmarkEnd w:id="0"/>
            <w:r w:rsidRPr="007C70C7">
              <w:rPr>
                <w:rFonts w:ascii="Times New Roman" w:hAnsi="Times New Roman" w:cs="Times New Roman"/>
                <w:sz w:val="18"/>
                <w:szCs w:val="18"/>
              </w:rPr>
              <w:t>ýsingu eða greinargerð frá sérfræðingi skal veita eftirfarandi upp</w:t>
            </w:r>
            <w:r w:rsidRPr="007C70C7">
              <w:rPr>
                <w:rFonts w:ascii="Times New Roman" w:hAnsi="Times New Roman" w:cs="Times New Roman"/>
                <w:sz w:val="18"/>
                <w:szCs w:val="18"/>
              </w:rPr>
              <w:softHyphen/>
              <w:t>lýsingar um þann aðila:</w:t>
            </w:r>
          </w:p>
          <w:p w:rsidR="00E343A7" w:rsidRPr="007C70C7" w:rsidRDefault="00E343A7" w:rsidP="00E343A7">
            <w:pPr>
              <w:pStyle w:val="Tflutexti"/>
              <w:spacing w:after="0"/>
              <w:ind w:left="318" w:hanging="318"/>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nafn,</w:t>
            </w:r>
          </w:p>
          <w:p w:rsidR="00E343A7" w:rsidRPr="007C70C7" w:rsidRDefault="00E343A7" w:rsidP="00E343A7">
            <w:pPr>
              <w:pStyle w:val="Tflutexti"/>
              <w:spacing w:before="0" w:after="0"/>
              <w:ind w:left="318" w:hanging="318"/>
              <w:rPr>
                <w:rFonts w:ascii="Times New Roman" w:hAnsi="Times New Roman" w:cs="Times New Roman"/>
                <w:sz w:val="18"/>
                <w:szCs w:val="18"/>
              </w:rPr>
            </w:pPr>
            <w:r w:rsidRPr="007C70C7">
              <w:rPr>
                <w:rFonts w:ascii="Times New Roman" w:hAnsi="Times New Roman" w:cs="Times New Roman"/>
                <w:sz w:val="18"/>
                <w:szCs w:val="18"/>
              </w:rPr>
              <w:t>b)</w:t>
            </w:r>
            <w:r w:rsidRPr="007C70C7">
              <w:rPr>
                <w:rFonts w:ascii="Times New Roman" w:hAnsi="Times New Roman" w:cs="Times New Roman"/>
                <w:sz w:val="18"/>
                <w:szCs w:val="18"/>
              </w:rPr>
              <w:tab/>
              <w:t>heimilisfang starfsstöðvar,</w:t>
            </w:r>
          </w:p>
          <w:p w:rsidR="00E343A7" w:rsidRPr="007C70C7" w:rsidRDefault="00E343A7" w:rsidP="00E343A7">
            <w:pPr>
              <w:pStyle w:val="Tflutexti"/>
              <w:spacing w:before="0" w:after="0"/>
              <w:ind w:left="318" w:hanging="318"/>
              <w:rPr>
                <w:rFonts w:ascii="Times New Roman" w:hAnsi="Times New Roman" w:cs="Times New Roman"/>
                <w:sz w:val="18"/>
                <w:szCs w:val="18"/>
              </w:rPr>
            </w:pPr>
            <w:r w:rsidRPr="007C70C7">
              <w:rPr>
                <w:rFonts w:ascii="Times New Roman" w:hAnsi="Times New Roman" w:cs="Times New Roman"/>
                <w:sz w:val="18"/>
                <w:szCs w:val="18"/>
              </w:rPr>
              <w:t>c)</w:t>
            </w:r>
            <w:r w:rsidRPr="007C70C7">
              <w:rPr>
                <w:rFonts w:ascii="Times New Roman" w:hAnsi="Times New Roman" w:cs="Times New Roman"/>
                <w:sz w:val="18"/>
                <w:szCs w:val="18"/>
              </w:rPr>
              <w:tab/>
              <w:t>menntun og hæfi,</w:t>
            </w:r>
          </w:p>
          <w:p w:rsidR="00E343A7" w:rsidRPr="007C70C7" w:rsidRDefault="00E343A7" w:rsidP="00E343A7">
            <w:pPr>
              <w:pStyle w:val="Tflutexti"/>
              <w:spacing w:before="0"/>
              <w:ind w:left="318" w:hanging="318"/>
              <w:rPr>
                <w:rFonts w:ascii="Times New Roman" w:hAnsi="Times New Roman" w:cs="Times New Roman"/>
                <w:sz w:val="18"/>
                <w:szCs w:val="18"/>
              </w:rPr>
            </w:pPr>
            <w:r w:rsidRPr="007C70C7">
              <w:rPr>
                <w:rFonts w:ascii="Times New Roman" w:hAnsi="Times New Roman" w:cs="Times New Roman"/>
                <w:sz w:val="18"/>
                <w:szCs w:val="18"/>
              </w:rPr>
              <w:t>d)</w:t>
            </w:r>
            <w:r w:rsidRPr="007C70C7">
              <w:rPr>
                <w:rFonts w:ascii="Times New Roman" w:hAnsi="Times New Roman" w:cs="Times New Roman"/>
                <w:sz w:val="18"/>
                <w:szCs w:val="18"/>
              </w:rPr>
              <w:tab/>
              <w:t>verulegir hagsmunir sem hann á að gæta í útgefanda, ef einhverjir eru.</w:t>
            </w:r>
          </w:p>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Hafi yfirlýsingin eða greinargerðin verið gerð að beiðni útgefandans skal taka fram að sú yfirlýsing eða greinargerð fylgi með í útgefandalýsingunni með samþykki þess aðila sem heimilaði efni þess hluta út</w:t>
            </w:r>
            <w:r w:rsidRPr="007C70C7">
              <w:rPr>
                <w:rFonts w:ascii="Times New Roman" w:hAnsi="Times New Roman" w:cs="Times New Roman"/>
                <w:sz w:val="18"/>
                <w:szCs w:val="18"/>
              </w:rPr>
              <w:softHyphen/>
              <w:t>gefandalýsingarinnar vegna lýsingarinnar.</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1.4.</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hefur birt, að engum staðreyndum hafi verið sleppt sem myndu gera upplýsingar ónákvæmar eða villandi. Auk þess skal útgefandi tilgreina uppruna upplýsinganna.</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1.5.</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Yfirlýsing þess efnis að:</w:t>
            </w:r>
          </w:p>
          <w:p w:rsidR="00E343A7" w:rsidRPr="007C70C7" w:rsidRDefault="00E343A7" w:rsidP="00E343A7">
            <w:pPr>
              <w:pStyle w:val="Tflutexti"/>
              <w:spacing w:after="0"/>
              <w:ind w:left="319" w:hanging="319"/>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[útgefandalýsingin/lýsingin] hafi verið staðfest af [heiti lögbærs yfirvalds] sem lögbæru yfirvaldi sam</w:t>
            </w:r>
            <w:r w:rsidRPr="007C70C7">
              <w:rPr>
                <w:rFonts w:ascii="Times New Roman" w:hAnsi="Times New Roman" w:cs="Times New Roman"/>
                <w:sz w:val="18"/>
                <w:szCs w:val="18"/>
              </w:rPr>
              <w:softHyphen/>
              <w:t>kvæmt reglugerð (ESB) 2017/1129,</w:t>
            </w:r>
          </w:p>
          <w:p w:rsidR="00E343A7" w:rsidRPr="007C70C7" w:rsidRDefault="00E343A7" w:rsidP="00E343A7">
            <w:pPr>
              <w:pStyle w:val="Tflutexti"/>
              <w:spacing w:before="0" w:after="0"/>
              <w:ind w:left="319" w:hanging="319"/>
              <w:rPr>
                <w:rFonts w:ascii="Times New Roman" w:hAnsi="Times New Roman" w:cs="Times New Roman"/>
                <w:sz w:val="18"/>
                <w:szCs w:val="18"/>
              </w:rPr>
            </w:pPr>
            <w:r w:rsidRPr="007C70C7">
              <w:rPr>
                <w:rFonts w:ascii="Times New Roman" w:hAnsi="Times New Roman" w:cs="Times New Roman"/>
                <w:sz w:val="18"/>
                <w:szCs w:val="18"/>
              </w:rPr>
              <w:t>b)</w:t>
            </w:r>
            <w:r w:rsidRPr="007C70C7">
              <w:rPr>
                <w:rFonts w:ascii="Times New Roman" w:hAnsi="Times New Roman" w:cs="Times New Roman"/>
                <w:sz w:val="18"/>
                <w:szCs w:val="18"/>
              </w:rPr>
              <w:tab/>
              <w:t>[heiti lögbærs yfirvalds] staðfesti aðeins viðkomandi [útgefandalýsingu/lýsingu] í þeim skilningi að hún uppfylli þær kröfur um að vera fullnægjandi, skiljanleg og samkvæm sem kveðið er á um í reglu</w:t>
            </w:r>
            <w:r w:rsidRPr="007C70C7">
              <w:rPr>
                <w:rFonts w:ascii="Times New Roman" w:hAnsi="Times New Roman" w:cs="Times New Roman"/>
                <w:sz w:val="18"/>
                <w:szCs w:val="18"/>
              </w:rPr>
              <w:softHyphen/>
              <w:t>gerð (ESB) 2017/1129,</w:t>
            </w:r>
          </w:p>
          <w:p w:rsidR="00E343A7" w:rsidRPr="007C70C7" w:rsidRDefault="00E343A7" w:rsidP="00E343A7">
            <w:pPr>
              <w:pStyle w:val="Tflutexti"/>
              <w:spacing w:before="0"/>
              <w:ind w:left="318" w:hanging="318"/>
              <w:rPr>
                <w:rFonts w:ascii="Times New Roman" w:hAnsi="Times New Roman" w:cs="Times New Roman"/>
                <w:sz w:val="18"/>
                <w:szCs w:val="18"/>
              </w:rPr>
            </w:pPr>
            <w:r w:rsidRPr="007C70C7">
              <w:rPr>
                <w:rFonts w:ascii="Times New Roman" w:hAnsi="Times New Roman" w:cs="Times New Roman"/>
                <w:sz w:val="18"/>
                <w:szCs w:val="18"/>
              </w:rPr>
              <w:t>c)</w:t>
            </w:r>
            <w:r w:rsidRPr="007C70C7">
              <w:rPr>
                <w:rFonts w:ascii="Times New Roman" w:hAnsi="Times New Roman" w:cs="Times New Roman"/>
                <w:sz w:val="18"/>
                <w:szCs w:val="18"/>
              </w:rPr>
              <w:tab/>
              <w:t>ekki beri að líta á slíka staðfestingu sem stuðning við útgefandann sem viðkomandi [útgefand</w:t>
            </w:r>
            <w:r w:rsidRPr="007C70C7">
              <w:rPr>
                <w:rFonts w:ascii="Times New Roman" w:hAnsi="Times New Roman" w:cs="Times New Roman"/>
                <w:sz w:val="18"/>
                <w:szCs w:val="18"/>
              </w:rPr>
              <w:softHyphen/>
              <w:t>a</w:t>
            </w:r>
            <w:r w:rsidRPr="007C70C7">
              <w:rPr>
                <w:rFonts w:ascii="Times New Roman" w:hAnsi="Times New Roman" w:cs="Times New Roman"/>
                <w:sz w:val="18"/>
                <w:szCs w:val="18"/>
              </w:rPr>
              <w:softHyphen/>
              <w:t>lýsing/lýsing] varðar.</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2. ÞÁTTUR</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LÖGGILTIR ENDURSKOÐENDUR</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2.1.</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Nöfn og heimilisföng endurskoðenda útgefandans á því tímabili sem sögulegu fjárhagsupplýsingarnar taka til (og aðild þeirra að fagfélagi).</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3. ÞÁTTUR</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ÁHÆTTUÞÆTTIR</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3.1.</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Lýsing á verulegri áhættu sem er sértæk fyrir útgefandann, í takmörkuðum fjölda flokka, í kafla með fyrirsögnina „Áhættuþættir“.</w:t>
            </w:r>
          </w:p>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Í hverjum flokki skal fyrst telja upp alvarlegustu áhættuþættina að mati útgefanda, tilboðsgjafa eða þess sem sækir um töku til viðskipta á skipulegum markaði, að teknu tilliti til neikvæðra áhrifa á útgefandann og líkanna á að þeir raungerist. Áhættuþættirnir skulu staðfestir með efni útgefandalýsingarinnar.</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4. ÞÁTTUR</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UPPLÝSINGAR UM ÚTGEFANDA</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4.1.</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 xml:space="preserve">Yfirlýsing um hvort útgefanda hefur verið komið á fót sem félagi með sérstakan tilgang (e. </w:t>
            </w:r>
            <w:proofErr w:type="spellStart"/>
            <w:r w:rsidRPr="007C70C7">
              <w:rPr>
                <w:rFonts w:ascii="Times New Roman" w:hAnsi="Times New Roman" w:cs="Times New Roman"/>
                <w:i/>
                <w:iCs/>
                <w:sz w:val="18"/>
                <w:szCs w:val="18"/>
              </w:rPr>
              <w:t>special</w:t>
            </w:r>
            <w:proofErr w:type="spellEnd"/>
            <w:r w:rsidRPr="007C70C7">
              <w:rPr>
                <w:rFonts w:ascii="Times New Roman" w:hAnsi="Times New Roman" w:cs="Times New Roman"/>
                <w:i/>
                <w:iCs/>
                <w:sz w:val="18"/>
                <w:szCs w:val="18"/>
              </w:rPr>
              <w:t xml:space="preserve"> </w:t>
            </w:r>
            <w:proofErr w:type="spellStart"/>
            <w:r w:rsidRPr="007C70C7">
              <w:rPr>
                <w:rFonts w:ascii="Times New Roman" w:hAnsi="Times New Roman" w:cs="Times New Roman"/>
                <w:i/>
                <w:iCs/>
                <w:sz w:val="18"/>
                <w:szCs w:val="18"/>
              </w:rPr>
              <w:t>purpose</w:t>
            </w:r>
            <w:proofErr w:type="spellEnd"/>
            <w:r w:rsidRPr="007C70C7">
              <w:rPr>
                <w:rFonts w:ascii="Times New Roman" w:hAnsi="Times New Roman" w:cs="Times New Roman"/>
                <w:i/>
                <w:iCs/>
                <w:sz w:val="18"/>
                <w:szCs w:val="18"/>
              </w:rPr>
              <w:t xml:space="preserve"> </w:t>
            </w:r>
            <w:proofErr w:type="spellStart"/>
            <w:r w:rsidRPr="007C70C7">
              <w:rPr>
                <w:rFonts w:ascii="Times New Roman" w:hAnsi="Times New Roman" w:cs="Times New Roman"/>
                <w:i/>
                <w:iCs/>
                <w:sz w:val="18"/>
                <w:szCs w:val="18"/>
              </w:rPr>
              <w:t>vehicle</w:t>
            </w:r>
            <w:proofErr w:type="spellEnd"/>
            <w:r w:rsidRPr="007C70C7">
              <w:rPr>
                <w:rFonts w:ascii="Times New Roman" w:hAnsi="Times New Roman" w:cs="Times New Roman"/>
                <w:sz w:val="18"/>
                <w:szCs w:val="18"/>
              </w:rPr>
              <w:t>) eða aðila með þann tilgang að gefa út eignavarin verðbréf.</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4.2.</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Lögheiti og viðskiptaheiti útgefanda og auðkenni lögaðila (LEI-númer).</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4.3.</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Skráningarstaður og skráningarnúmer útgefanda.</w:t>
            </w:r>
          </w:p>
        </w:tc>
      </w:tr>
      <w:tr w:rsidR="00E343A7" w:rsidRPr="007C70C7" w:rsidTr="0056743C">
        <w:tc>
          <w:tcPr>
            <w:tcW w:w="846" w:type="dxa"/>
            <w:tcBorders>
              <w:left w:val="nil"/>
            </w:tcBorders>
          </w:tcPr>
          <w:p w:rsidR="00E343A7" w:rsidRPr="007C70C7" w:rsidRDefault="00E343A7" w:rsidP="0056743C">
            <w:pPr>
              <w:pStyle w:val="Meginml"/>
              <w:rPr>
                <w:rFonts w:ascii="Times New Roman" w:hAnsi="Times New Roman" w:cs="Times New Roman"/>
                <w:sz w:val="18"/>
                <w:szCs w:val="18"/>
              </w:rPr>
            </w:pPr>
          </w:p>
        </w:tc>
        <w:tc>
          <w:tcPr>
            <w:tcW w:w="1134" w:type="dxa"/>
          </w:tcPr>
          <w:p w:rsidR="00E343A7" w:rsidRPr="007C70C7" w:rsidRDefault="00E343A7"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4.4.</w:t>
            </w:r>
          </w:p>
        </w:tc>
        <w:tc>
          <w:tcPr>
            <w:tcW w:w="7371" w:type="dxa"/>
            <w:tcBorders>
              <w:right w:val="nil"/>
            </w:tcBorders>
          </w:tcPr>
          <w:p w:rsidR="00E343A7" w:rsidRPr="007C70C7" w:rsidRDefault="00E343A7"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Stofndagur og rekstrartími útgefanda, nema sá tími sé ótiltekinn.</w:t>
            </w:r>
          </w:p>
        </w:tc>
      </w:tr>
      <w:tr w:rsidR="00115F06" w:rsidRPr="007C70C7" w:rsidTr="0056743C">
        <w:tc>
          <w:tcPr>
            <w:tcW w:w="846" w:type="dxa"/>
            <w:tcBorders>
              <w:left w:val="nil"/>
            </w:tcBorders>
          </w:tcPr>
          <w:p w:rsidR="00115F06" w:rsidRPr="007C70C7" w:rsidRDefault="00115F06" w:rsidP="0056743C">
            <w:pPr>
              <w:pStyle w:val="Meginml"/>
              <w:rPr>
                <w:rFonts w:ascii="Times New Roman" w:hAnsi="Times New Roman" w:cs="Times New Roman"/>
                <w:sz w:val="18"/>
                <w:szCs w:val="18"/>
              </w:rPr>
            </w:pPr>
          </w:p>
        </w:tc>
        <w:tc>
          <w:tcPr>
            <w:tcW w:w="1134" w:type="dxa"/>
          </w:tcPr>
          <w:p w:rsidR="00115F06" w:rsidRPr="007C70C7" w:rsidRDefault="00115F06"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4.5.</w:t>
            </w:r>
          </w:p>
        </w:tc>
        <w:tc>
          <w:tcPr>
            <w:tcW w:w="7371" w:type="dxa"/>
            <w:tcBorders>
              <w:right w:val="nil"/>
            </w:tcBorders>
          </w:tcPr>
          <w:p w:rsidR="00115F06" w:rsidRPr="007C70C7" w:rsidRDefault="00115F06"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Lögheimili útgefanda og rekstrarform hans að lögum, löggjöfin sem útgefandinn starfar samkvæmt, heiti lands þar sem útgefandi er skráður, heimilisfang og símanúmer skráðrar skrifstofu hans (eða aðalstarfs</w:t>
            </w:r>
            <w:r w:rsidRPr="007C70C7">
              <w:rPr>
                <w:rFonts w:ascii="Times New Roman" w:hAnsi="Times New Roman" w:cs="Times New Roman"/>
                <w:sz w:val="18"/>
                <w:szCs w:val="18"/>
              </w:rPr>
              <w:softHyphen/>
              <w:t>stöðvar heimilisfang hennar er annað en skráðrar skrifstofu hans) og vefsetur útgefanda, sé um það að ræða, eða vefsetur þriðja aðila eða ábyrgðarveitanda, með fyrirvara um að upplýsingar á vefsetrinu séu ekki hluti lýsingarinnar nema þær upplýsingar séu felldar inn í lýsinguna með tilvísun.</w:t>
            </w:r>
          </w:p>
        </w:tc>
      </w:tr>
      <w:tr w:rsidR="00115F06" w:rsidRPr="007C70C7" w:rsidTr="0056743C">
        <w:tc>
          <w:tcPr>
            <w:tcW w:w="846" w:type="dxa"/>
            <w:tcBorders>
              <w:left w:val="nil"/>
            </w:tcBorders>
          </w:tcPr>
          <w:p w:rsidR="00115F06" w:rsidRPr="007C70C7" w:rsidRDefault="00115F06" w:rsidP="0056743C">
            <w:pPr>
              <w:pStyle w:val="Meginml"/>
              <w:rPr>
                <w:rFonts w:ascii="Times New Roman" w:hAnsi="Times New Roman" w:cs="Times New Roman"/>
                <w:sz w:val="18"/>
                <w:szCs w:val="18"/>
              </w:rPr>
            </w:pPr>
          </w:p>
        </w:tc>
        <w:tc>
          <w:tcPr>
            <w:tcW w:w="1134" w:type="dxa"/>
          </w:tcPr>
          <w:p w:rsidR="00115F06" w:rsidRPr="007C70C7" w:rsidRDefault="00115F06"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4.6.</w:t>
            </w:r>
          </w:p>
        </w:tc>
        <w:tc>
          <w:tcPr>
            <w:tcW w:w="7371" w:type="dxa"/>
            <w:tcBorders>
              <w:right w:val="nil"/>
            </w:tcBorders>
          </w:tcPr>
          <w:p w:rsidR="00115F06" w:rsidRPr="007C70C7" w:rsidRDefault="00115F06"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Tilgreining á fjárhæð heimilaðs og útgefins hlutafjár og fjárhæð hlutafjár sem samþykkt hefur verið að gefa út auk fjölda og flokka verðbréfa sem það samanstendur af.</w:t>
            </w:r>
          </w:p>
        </w:tc>
      </w:tr>
      <w:tr w:rsidR="00115F06" w:rsidRPr="007C70C7" w:rsidTr="0056743C">
        <w:tc>
          <w:tcPr>
            <w:tcW w:w="846" w:type="dxa"/>
            <w:tcBorders>
              <w:left w:val="nil"/>
            </w:tcBorders>
          </w:tcPr>
          <w:p w:rsidR="00115F06" w:rsidRPr="007C70C7" w:rsidRDefault="00115F06" w:rsidP="0056743C">
            <w:pPr>
              <w:pStyle w:val="Meginml"/>
              <w:rPr>
                <w:rFonts w:ascii="Times New Roman" w:hAnsi="Times New Roman" w:cs="Times New Roman"/>
                <w:sz w:val="18"/>
                <w:szCs w:val="18"/>
              </w:rPr>
            </w:pPr>
          </w:p>
        </w:tc>
        <w:tc>
          <w:tcPr>
            <w:tcW w:w="1134" w:type="dxa"/>
          </w:tcPr>
          <w:p w:rsidR="00115F06" w:rsidRPr="007C70C7" w:rsidRDefault="00D62A9F"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5. ÞÁTTUR</w:t>
            </w:r>
          </w:p>
        </w:tc>
        <w:tc>
          <w:tcPr>
            <w:tcW w:w="7371" w:type="dxa"/>
            <w:tcBorders>
              <w:right w:val="nil"/>
            </w:tcBorders>
          </w:tcPr>
          <w:p w:rsidR="00115F06" w:rsidRPr="007C70C7" w:rsidRDefault="00D62A9F"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YFIRLIT UM STARFSEMI</w:t>
            </w:r>
          </w:p>
        </w:tc>
      </w:tr>
      <w:tr w:rsidR="00115F06" w:rsidRPr="007C70C7" w:rsidTr="0056743C">
        <w:tc>
          <w:tcPr>
            <w:tcW w:w="846" w:type="dxa"/>
            <w:tcBorders>
              <w:left w:val="nil"/>
            </w:tcBorders>
          </w:tcPr>
          <w:p w:rsidR="00115F06" w:rsidRPr="007C70C7" w:rsidRDefault="00115F06" w:rsidP="0056743C">
            <w:pPr>
              <w:pStyle w:val="Meginml"/>
              <w:rPr>
                <w:rFonts w:ascii="Times New Roman" w:hAnsi="Times New Roman" w:cs="Times New Roman"/>
                <w:sz w:val="18"/>
                <w:szCs w:val="18"/>
              </w:rPr>
            </w:pPr>
          </w:p>
        </w:tc>
        <w:tc>
          <w:tcPr>
            <w:tcW w:w="1134" w:type="dxa"/>
          </w:tcPr>
          <w:p w:rsidR="00115F06" w:rsidRPr="007C70C7" w:rsidRDefault="00D62A9F"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5.1.</w:t>
            </w:r>
          </w:p>
        </w:tc>
        <w:tc>
          <w:tcPr>
            <w:tcW w:w="7371" w:type="dxa"/>
            <w:tcBorders>
              <w:right w:val="nil"/>
            </w:tcBorders>
          </w:tcPr>
          <w:p w:rsidR="00115F06" w:rsidRPr="007C70C7" w:rsidRDefault="00D62A9F"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Stutt lýsing á helstu starfsemi útgefanda.</w:t>
            </w:r>
          </w:p>
        </w:tc>
      </w:tr>
      <w:tr w:rsidR="00115F06" w:rsidRPr="007C70C7" w:rsidTr="0056743C">
        <w:tc>
          <w:tcPr>
            <w:tcW w:w="846" w:type="dxa"/>
            <w:tcBorders>
              <w:left w:val="nil"/>
            </w:tcBorders>
          </w:tcPr>
          <w:p w:rsidR="00115F06" w:rsidRPr="007C70C7" w:rsidRDefault="00115F06" w:rsidP="0056743C">
            <w:pPr>
              <w:pStyle w:val="Meginml"/>
              <w:rPr>
                <w:rFonts w:ascii="Times New Roman" w:hAnsi="Times New Roman" w:cs="Times New Roman"/>
                <w:sz w:val="18"/>
                <w:szCs w:val="18"/>
              </w:rPr>
            </w:pPr>
          </w:p>
        </w:tc>
        <w:tc>
          <w:tcPr>
            <w:tcW w:w="1134" w:type="dxa"/>
          </w:tcPr>
          <w:p w:rsidR="00115F06" w:rsidRPr="007C70C7" w:rsidRDefault="00D62A9F"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6. ÞÁTTUR</w:t>
            </w:r>
          </w:p>
        </w:tc>
        <w:tc>
          <w:tcPr>
            <w:tcW w:w="7371" w:type="dxa"/>
            <w:tcBorders>
              <w:right w:val="nil"/>
            </w:tcBorders>
          </w:tcPr>
          <w:p w:rsidR="00115F06" w:rsidRPr="007C70C7" w:rsidRDefault="00D62A9F"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STJÓRN, FRAMKVÆMDASTJÓRN OG EFTIRLITSSTJÓRN</w:t>
            </w:r>
          </w:p>
        </w:tc>
      </w:tr>
      <w:tr w:rsidR="00115F06" w:rsidRPr="007C70C7" w:rsidTr="0056743C">
        <w:tc>
          <w:tcPr>
            <w:tcW w:w="846" w:type="dxa"/>
            <w:tcBorders>
              <w:left w:val="nil"/>
            </w:tcBorders>
          </w:tcPr>
          <w:p w:rsidR="00115F06" w:rsidRPr="007C70C7" w:rsidRDefault="00115F06" w:rsidP="0056743C">
            <w:pPr>
              <w:pStyle w:val="Meginml"/>
              <w:rPr>
                <w:rFonts w:ascii="Times New Roman" w:hAnsi="Times New Roman" w:cs="Times New Roman"/>
                <w:sz w:val="18"/>
                <w:szCs w:val="18"/>
              </w:rPr>
            </w:pPr>
          </w:p>
        </w:tc>
        <w:tc>
          <w:tcPr>
            <w:tcW w:w="1134" w:type="dxa"/>
          </w:tcPr>
          <w:p w:rsidR="00115F06" w:rsidRPr="007C70C7" w:rsidRDefault="00D62A9F"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6.1.</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Nöfn, aðsetur og hlutverk eftirfarandi aðila hjá útgefanda og helstu störf þeirra utan þess útgefanda ef þau skipta máli gagnvart þeim útgefanda:</w:t>
            </w:r>
          </w:p>
          <w:p w:rsidR="00D62A9F" w:rsidRPr="007C70C7" w:rsidRDefault="00D62A9F" w:rsidP="00D62A9F">
            <w:pPr>
              <w:pStyle w:val="Tflutexti"/>
              <w:spacing w:after="0"/>
              <w:ind w:left="324" w:hanging="324"/>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þeirra sem sitja í stjórn, framkvæmdastjórn eða eftirlitsstjórn,</w:t>
            </w:r>
          </w:p>
          <w:p w:rsidR="00115F06" w:rsidRPr="007C70C7" w:rsidRDefault="00D62A9F" w:rsidP="00D62A9F">
            <w:pPr>
              <w:pStyle w:val="Tflutexti"/>
              <w:spacing w:before="0"/>
              <w:ind w:left="324" w:hanging="324"/>
              <w:rPr>
                <w:rFonts w:ascii="Times New Roman" w:hAnsi="Times New Roman" w:cs="Times New Roman"/>
                <w:sz w:val="18"/>
                <w:szCs w:val="18"/>
              </w:rPr>
            </w:pPr>
            <w:r w:rsidRPr="007C70C7">
              <w:rPr>
                <w:rFonts w:ascii="Times New Roman" w:hAnsi="Times New Roman" w:cs="Times New Roman"/>
                <w:sz w:val="18"/>
                <w:szCs w:val="18"/>
              </w:rPr>
              <w:t>b)</w:t>
            </w:r>
            <w:r w:rsidRPr="007C70C7">
              <w:rPr>
                <w:rFonts w:ascii="Times New Roman" w:hAnsi="Times New Roman" w:cs="Times New Roman"/>
                <w:sz w:val="18"/>
                <w:szCs w:val="18"/>
              </w:rPr>
              <w:tab/>
              <w:t>sameigenda með ótakmarkaða ábyrgð, sé um að ræða samlagsfélag með hlutafé.</w:t>
            </w:r>
          </w:p>
        </w:tc>
      </w:tr>
      <w:tr w:rsidR="00115F06" w:rsidRPr="007C70C7" w:rsidTr="0056743C">
        <w:tc>
          <w:tcPr>
            <w:tcW w:w="846" w:type="dxa"/>
            <w:tcBorders>
              <w:left w:val="nil"/>
            </w:tcBorders>
          </w:tcPr>
          <w:p w:rsidR="00115F06" w:rsidRPr="007C70C7" w:rsidRDefault="00115F06" w:rsidP="0056743C">
            <w:pPr>
              <w:pStyle w:val="Meginml"/>
              <w:rPr>
                <w:rFonts w:ascii="Times New Roman" w:hAnsi="Times New Roman" w:cs="Times New Roman"/>
                <w:sz w:val="18"/>
                <w:szCs w:val="18"/>
              </w:rPr>
            </w:pPr>
          </w:p>
        </w:tc>
        <w:tc>
          <w:tcPr>
            <w:tcW w:w="1134" w:type="dxa"/>
          </w:tcPr>
          <w:p w:rsidR="00115F06" w:rsidRPr="007C70C7" w:rsidRDefault="00D62A9F"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7. ÞÁTTUR</w:t>
            </w:r>
          </w:p>
        </w:tc>
        <w:tc>
          <w:tcPr>
            <w:tcW w:w="7371" w:type="dxa"/>
            <w:tcBorders>
              <w:right w:val="nil"/>
            </w:tcBorders>
          </w:tcPr>
          <w:p w:rsidR="00115F06" w:rsidRPr="007C70C7" w:rsidRDefault="00D62A9F"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STÆRSTU HLUTHAFAR</w:t>
            </w:r>
          </w:p>
        </w:tc>
      </w:tr>
      <w:tr w:rsidR="00115F06" w:rsidRPr="007C70C7" w:rsidTr="0056743C">
        <w:tc>
          <w:tcPr>
            <w:tcW w:w="846" w:type="dxa"/>
            <w:tcBorders>
              <w:left w:val="nil"/>
            </w:tcBorders>
          </w:tcPr>
          <w:p w:rsidR="00115F06" w:rsidRPr="007C70C7" w:rsidRDefault="00115F06" w:rsidP="0056743C">
            <w:pPr>
              <w:pStyle w:val="Meginml"/>
              <w:rPr>
                <w:rFonts w:ascii="Times New Roman" w:hAnsi="Times New Roman" w:cs="Times New Roman"/>
                <w:sz w:val="18"/>
                <w:szCs w:val="18"/>
              </w:rPr>
            </w:pPr>
          </w:p>
        </w:tc>
        <w:tc>
          <w:tcPr>
            <w:tcW w:w="1134" w:type="dxa"/>
          </w:tcPr>
          <w:p w:rsidR="00115F06" w:rsidRPr="007C70C7" w:rsidRDefault="00D62A9F" w:rsidP="0056743C">
            <w:pPr>
              <w:pStyle w:val="Tflutexti"/>
              <w:rPr>
                <w:rFonts w:ascii="Times New Roman" w:hAnsi="Times New Roman" w:cs="Times New Roman"/>
                <w:sz w:val="18"/>
                <w:szCs w:val="18"/>
              </w:rPr>
            </w:pPr>
            <w:r w:rsidRPr="007C70C7">
              <w:rPr>
                <w:rFonts w:ascii="Times New Roman" w:hAnsi="Times New Roman" w:cs="Times New Roman"/>
                <w:sz w:val="18"/>
                <w:szCs w:val="18"/>
              </w:rPr>
              <w:t>Liður 7.1.</w:t>
            </w:r>
          </w:p>
        </w:tc>
        <w:tc>
          <w:tcPr>
            <w:tcW w:w="7371" w:type="dxa"/>
            <w:tcBorders>
              <w:right w:val="nil"/>
            </w:tcBorders>
          </w:tcPr>
          <w:p w:rsidR="00115F06" w:rsidRPr="007C70C7" w:rsidRDefault="00D62A9F" w:rsidP="00E343A7">
            <w:pPr>
              <w:pStyle w:val="Tflutexti"/>
              <w:rPr>
                <w:rFonts w:ascii="Times New Roman" w:hAnsi="Times New Roman" w:cs="Times New Roman"/>
                <w:sz w:val="18"/>
                <w:szCs w:val="18"/>
              </w:rPr>
            </w:pPr>
            <w:r w:rsidRPr="007C70C7">
              <w:rPr>
                <w:rFonts w:ascii="Times New Roman" w:hAnsi="Times New Roman" w:cs="Times New Roman"/>
                <w:sz w:val="18"/>
                <w:szCs w:val="18"/>
              </w:rPr>
              <w:t>Að því marki sem útgefanda er kunnugt um skal greina frá því hvort útgefandi sé beint eða óbeint í eigu eða undir yfirráðum einhvers aðila og hver sá aðili er og lýsa eðli slíkra yfirráða og þeim ráðstöfunum sem gerðar eru til að tryggja að slík yfirráð séu ekki misnotuð.</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8. ÞÁTTUR</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FJÁRHAGSUPPLÝSINGAR UM EIGNIR OG SKULDIR ÚTGEFANDA, FJÁRHAGSSTÖÐU HANS OG HAGNAÐ OG TAP</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8.1.</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Hafi útgefandi ekki hafið starfsemi frá skráningar- eða stofndegi sínum og engin reikningsskil hafa verið samin á dagsetningu útgefandalýsingar skal gera grein fyrir því í útgefandalýsingunni.</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8.2.</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Sögulegar fjárhagsupplýsingar</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Hafi útgefandi hafið starfsemi sína og reikningsskil verið samin skal útgefandalýsing hafa að geyma endurskoðaðar, sögulegar fjárhagsupplýsingar sem taka til tveggja síðustu fjárhagsára (a.m.k. 24 mánaða eða þess styttra tímabils sem útgefandinn hefur starfað), ásamt áritun endurskoðanda fyrir hvert ár.</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8.2.1.</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Breyting á viðmiðunardegi reikningsskila</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lastRenderedPageBreak/>
              <w:t>Hafi útgefandi breytt viðmiðunardegi reikningsskila á tímabilinu sem farið er fram á sögulegar fjárhagsupplýsingar um skulu sögulegar fjárhagsupplýsingar ná til a.m.k. 24 mánaða eða alls tímabilsins sem útgefandinn hefur starfað, hvort heldur er styttra.</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8.2.2.</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Reikningsskilastaðlar</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Fjárhagsupplýsingarnar skulu samdar samkvæmt alþjóðlegum reikningsskilastöðlum (IFRS) sem viður</w:t>
            </w:r>
            <w:r w:rsidRPr="007C70C7">
              <w:rPr>
                <w:rFonts w:ascii="Times New Roman" w:hAnsi="Times New Roman" w:cs="Times New Roman"/>
                <w:sz w:val="18"/>
                <w:szCs w:val="18"/>
              </w:rPr>
              <w:softHyphen/>
              <w:t>kenndir eru í Sambandinu á grundvelli reglugerðar (EB) nr. 1606/2002.</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Eigi reglugerð (EB) nr. 1606/2002 ekki við skulu reikningsskilin samin í samræmi við:</w:t>
            </w:r>
          </w:p>
          <w:p w:rsidR="00D62A9F" w:rsidRPr="007C70C7" w:rsidRDefault="00D62A9F" w:rsidP="00D62A9F">
            <w:pPr>
              <w:pStyle w:val="Tflutexti"/>
              <w:spacing w:after="0"/>
              <w:ind w:left="324" w:hanging="283"/>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landsbundna reikningsskilastaðla aðildarríkis fyrir útgefendur innan EES eins og krafist er í tilskipun 2013/34/ESB,</w:t>
            </w:r>
          </w:p>
          <w:p w:rsidR="00D62A9F" w:rsidRPr="007C70C7" w:rsidRDefault="00D62A9F" w:rsidP="00D62A9F">
            <w:pPr>
              <w:pStyle w:val="Tflutexti"/>
              <w:spacing w:before="0"/>
              <w:ind w:left="324" w:hanging="283"/>
              <w:rPr>
                <w:rFonts w:ascii="Times New Roman" w:hAnsi="Times New Roman" w:cs="Times New Roman"/>
                <w:sz w:val="18"/>
                <w:szCs w:val="18"/>
              </w:rPr>
            </w:pPr>
            <w:r w:rsidRPr="007C70C7">
              <w:rPr>
                <w:rFonts w:ascii="Times New Roman" w:hAnsi="Times New Roman" w:cs="Times New Roman"/>
                <w:sz w:val="18"/>
                <w:szCs w:val="18"/>
              </w:rPr>
              <w:t>b)</w:t>
            </w:r>
            <w:r w:rsidRPr="007C70C7">
              <w:rPr>
                <w:rFonts w:ascii="Times New Roman" w:hAnsi="Times New Roman" w:cs="Times New Roman"/>
                <w:sz w:val="18"/>
                <w:szCs w:val="18"/>
              </w:rPr>
              <w:tab/>
              <w:t>landsbundna reikningsskilastaðla þriðja lands sem eru sambærilegir reglugerð (EB) nr. 1606/2002 að því er varðar útgefendur í þriðju löndum. Séu slíkir landsbundnir reikningsskilastaðlar þriðja lands ekki sambærilegir reglugerð (EB) nr. 1606/2002 skulu reikningsskil endurgerð í samræmi við reglugerð (EB) nr. 1606/2002.</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8.2.3.</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Breytingar á reikningsskilaumgjörð</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Leggja skal fram og semja sögulegar fjárhagsupplýsingar síðasta árs, sem hafa að geyma samanburðar</w:t>
            </w:r>
            <w:r w:rsidRPr="007C70C7">
              <w:rPr>
                <w:rFonts w:ascii="Times New Roman" w:hAnsi="Times New Roman" w:cs="Times New Roman"/>
                <w:sz w:val="18"/>
                <w:szCs w:val="18"/>
              </w:rPr>
              <w:softHyphen/>
              <w:t>upplýsingar við næstliðið ár, á formi sem er í samræmi við þá umgjörð reikningsskilastaðla sem notuð verður í næstu birtu árlegu reikningsskilum útgefanda að teknu tilliti til reikningsskilastaðla og -aðferða og löggjafar sem gildir um slík árleg reikningsskil.</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Breytingar á reikningsskilaumgjörð útgefanda krefjast ekki endurgerðar endurskoðaðra reikningsskila. Hyggist útgefandi hins vegar taka upp nýja umgjörð um reikningsskilastaðla í næstu birtu reikningsskilum sínum þarf að leggja fram a.m.k. ein heildstæð reikningsskil (í skilningi IAS-staðals 1, framsetning reikn</w:t>
            </w:r>
            <w:r w:rsidRPr="007C70C7">
              <w:rPr>
                <w:rFonts w:ascii="Times New Roman" w:hAnsi="Times New Roman" w:cs="Times New Roman"/>
                <w:sz w:val="18"/>
                <w:szCs w:val="18"/>
              </w:rPr>
              <w:softHyphen/>
              <w:t>ingsskila), ásamt samanburðarupplýsingum, á formi sem er í samræmi við það sem notað verður í næstu birtu árlegu reikningsskilum útgefanda, að teknu tilliti til reikningsskilastaðla og -aðferða og löggjafar sem gildir um slík árleg reikningsskil.</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8.2.4.</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Séu endurskoðaðar fjárhagsupplýsingar samdar í samræmi við landsbundna reikningsskilastaðla skulu þær fjárhagsupplýsingar sem krafist er samkvæmt þessum lið a.m.k. hafa að geyma eftirfarandi:</w:t>
            </w:r>
          </w:p>
          <w:p w:rsidR="00D62A9F" w:rsidRPr="007C70C7" w:rsidRDefault="00D62A9F" w:rsidP="00D62A9F">
            <w:pPr>
              <w:pStyle w:val="Tflutexti"/>
              <w:spacing w:after="0"/>
              <w:ind w:left="323" w:hanging="323"/>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efnahagsreikning,</w:t>
            </w:r>
          </w:p>
          <w:p w:rsidR="00D62A9F" w:rsidRPr="007C70C7" w:rsidRDefault="00D62A9F" w:rsidP="00D62A9F">
            <w:pPr>
              <w:pStyle w:val="Tflutexti"/>
              <w:spacing w:before="0" w:after="0"/>
              <w:ind w:left="323" w:hanging="323"/>
              <w:rPr>
                <w:rFonts w:ascii="Times New Roman" w:hAnsi="Times New Roman" w:cs="Times New Roman"/>
                <w:sz w:val="18"/>
                <w:szCs w:val="18"/>
              </w:rPr>
            </w:pPr>
            <w:r w:rsidRPr="007C70C7">
              <w:rPr>
                <w:rFonts w:ascii="Times New Roman" w:hAnsi="Times New Roman" w:cs="Times New Roman"/>
                <w:sz w:val="18"/>
                <w:szCs w:val="18"/>
              </w:rPr>
              <w:t>b)</w:t>
            </w:r>
            <w:r w:rsidRPr="007C70C7">
              <w:rPr>
                <w:rFonts w:ascii="Times New Roman" w:hAnsi="Times New Roman" w:cs="Times New Roman"/>
                <w:sz w:val="18"/>
                <w:szCs w:val="18"/>
              </w:rPr>
              <w:tab/>
              <w:t>rekstrarreikning,</w:t>
            </w:r>
          </w:p>
          <w:p w:rsidR="00D62A9F" w:rsidRPr="007C70C7" w:rsidRDefault="00D62A9F" w:rsidP="00D62A9F">
            <w:pPr>
              <w:pStyle w:val="Tflutexti"/>
              <w:spacing w:before="0"/>
              <w:ind w:left="323" w:hanging="323"/>
              <w:rPr>
                <w:rFonts w:ascii="Times New Roman" w:hAnsi="Times New Roman" w:cs="Times New Roman"/>
                <w:sz w:val="18"/>
                <w:szCs w:val="18"/>
              </w:rPr>
            </w:pPr>
            <w:r w:rsidRPr="007C70C7">
              <w:rPr>
                <w:rFonts w:ascii="Times New Roman" w:hAnsi="Times New Roman" w:cs="Times New Roman"/>
                <w:sz w:val="18"/>
                <w:szCs w:val="18"/>
              </w:rPr>
              <w:t>c)</w:t>
            </w:r>
            <w:r w:rsidRPr="007C70C7">
              <w:rPr>
                <w:rFonts w:ascii="Times New Roman" w:hAnsi="Times New Roman" w:cs="Times New Roman"/>
                <w:sz w:val="18"/>
                <w:szCs w:val="18"/>
              </w:rPr>
              <w:tab/>
              <w:t>reikningsskilaaðferðir og skýringar.</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8.2.a</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Þessa málsgrein (liði 8.2.a, 8.2.a.1, 8.2.a.2 og 8.2.a.3) skal aðeins nota við útgáfur hlutabréfatengdra verðbréfa þar sem nafnverð hverrar einingar er a.m.k. 100 000 evrur eða sem aðeins verða viðskipti með á skipulegum markaði, og/eða tilteknum hluta hans, sem aðeins hæfir fjárfestar hafa aðgang að í þeim tilgangi að eiga viðskipti með verðbréfin.</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Sögulegar fjárhagsupplýsingar</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Hafi útgefandi hafið starfsemi sína og reikningsskil verið samin skal útgefandalýsingin hafa að geyma sögulegar fjárhagsupplýsingar sem taka til tveggja síðustu fjárhagsára (a.m.k. 24 mánaða eða þess styttra tímabils sem útgefandi hefur starfað) ásamt áritun endurskoðanda fyrir hvert ár.</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8.2.a.1</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Reikningsskilastaðlar</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Fjárhagsupplýsingarnar skulu samdar samkvæmt alþjóðlegum reikningsskilastöðlum (IFRS) sem sam</w:t>
            </w:r>
            <w:r w:rsidRPr="007C70C7">
              <w:rPr>
                <w:rFonts w:ascii="Times New Roman" w:hAnsi="Times New Roman" w:cs="Times New Roman"/>
                <w:sz w:val="18"/>
                <w:szCs w:val="18"/>
              </w:rPr>
              <w:softHyphen/>
              <w:t>þykktir eru í Sambandinu á grundvelli reglugerðar (EB) nr. 1606/2002.</w:t>
            </w:r>
          </w:p>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Eigi reglugerð (EB) nr. 1606/2002 ekki við skulu reikningsskilin samin í samræmi við:</w:t>
            </w:r>
          </w:p>
          <w:p w:rsidR="00D62A9F" w:rsidRPr="007C70C7" w:rsidRDefault="00D62A9F" w:rsidP="00D62A9F">
            <w:pPr>
              <w:pStyle w:val="Tflutexti"/>
              <w:ind w:left="324" w:hanging="324"/>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landsbundna reikningsskilastaðla aðildarríkis fyrir útgefendur innan EES eins og krafist er í tilskipun 2013/34/ESB,</w:t>
            </w:r>
          </w:p>
          <w:p w:rsidR="00D62A9F" w:rsidRPr="007C70C7" w:rsidRDefault="00D62A9F" w:rsidP="00D62A9F">
            <w:pPr>
              <w:pStyle w:val="Tflutexti"/>
              <w:spacing w:before="240"/>
              <w:ind w:left="324" w:hanging="324"/>
              <w:rPr>
                <w:rFonts w:ascii="Times New Roman" w:hAnsi="Times New Roman" w:cs="Times New Roman"/>
                <w:sz w:val="18"/>
                <w:szCs w:val="18"/>
              </w:rPr>
            </w:pPr>
            <w:r w:rsidRPr="007C70C7">
              <w:rPr>
                <w:rFonts w:ascii="Times New Roman" w:hAnsi="Times New Roman" w:cs="Times New Roman"/>
                <w:sz w:val="18"/>
                <w:szCs w:val="18"/>
              </w:rPr>
              <w:t>b)</w:t>
            </w:r>
            <w:r w:rsidRPr="007C70C7">
              <w:rPr>
                <w:rFonts w:ascii="Times New Roman" w:hAnsi="Times New Roman" w:cs="Times New Roman"/>
                <w:sz w:val="18"/>
                <w:szCs w:val="18"/>
              </w:rPr>
              <w:tab/>
              <w:t>landsbundna reikningsskilastaðla þriðja lands sem eru sambærilegir reglugerð (EB) nr. 1606/2002 að því er varðar útgefendur í þriðju löndum.</w:t>
            </w:r>
          </w:p>
          <w:p w:rsidR="00D62A9F" w:rsidRPr="007C70C7" w:rsidRDefault="00D62A9F" w:rsidP="00D62A9F">
            <w:pPr>
              <w:pStyle w:val="Tflutexti"/>
              <w:ind w:left="324" w:hanging="324"/>
              <w:rPr>
                <w:rFonts w:ascii="Times New Roman" w:hAnsi="Times New Roman" w:cs="Times New Roman"/>
                <w:sz w:val="18"/>
                <w:szCs w:val="18"/>
              </w:rPr>
            </w:pPr>
            <w:r w:rsidRPr="007C70C7">
              <w:rPr>
                <w:rFonts w:ascii="Times New Roman" w:hAnsi="Times New Roman" w:cs="Times New Roman"/>
                <w:sz w:val="18"/>
                <w:szCs w:val="18"/>
              </w:rPr>
              <w:t>Að öðrum kosti skulu eftirfarandi upplýsingar koma fram í útgefandalýsingunni:</w:t>
            </w:r>
          </w:p>
          <w:p w:rsidR="00D62A9F" w:rsidRPr="007C70C7" w:rsidRDefault="00D62A9F" w:rsidP="00D62A9F">
            <w:pPr>
              <w:pStyle w:val="Tflutexti"/>
              <w:spacing w:after="0"/>
              <w:ind w:left="324" w:hanging="324"/>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áberandi yfirlýsing þess efnis að fjárhagsupplýsingarnar í útgefandalýsingunni hafi ekki verið samdar í samræmi við reglugerð (EB) nr. 1606/2002, sem Sambandið hefur samþykkt, og að fjárhagsupp</w:t>
            </w:r>
            <w:r w:rsidRPr="007C70C7">
              <w:rPr>
                <w:rFonts w:ascii="Times New Roman" w:hAnsi="Times New Roman" w:cs="Times New Roman"/>
                <w:sz w:val="18"/>
                <w:szCs w:val="18"/>
              </w:rPr>
              <w:softHyphen/>
              <w:t>lýsingarnar kunni að vera verulega frábrugðnar þeim sögulegu fjárhagsupplýsingum sem hefðu verið samdar ef reglugerð (EB) nr. 1606/2002 hefði verið beitt,</w:t>
            </w:r>
          </w:p>
          <w:p w:rsidR="00D62A9F" w:rsidRPr="007C70C7" w:rsidRDefault="00D62A9F" w:rsidP="00D62A9F">
            <w:pPr>
              <w:pStyle w:val="Tflutexti"/>
              <w:spacing w:before="0"/>
              <w:ind w:left="324" w:hanging="324"/>
              <w:rPr>
                <w:rFonts w:ascii="Times New Roman" w:hAnsi="Times New Roman" w:cs="Times New Roman"/>
                <w:sz w:val="18"/>
                <w:szCs w:val="18"/>
              </w:rPr>
            </w:pPr>
            <w:r w:rsidRPr="007C70C7">
              <w:rPr>
                <w:rFonts w:ascii="Times New Roman" w:hAnsi="Times New Roman" w:cs="Times New Roman"/>
                <w:sz w:val="18"/>
                <w:szCs w:val="18"/>
              </w:rPr>
              <w:lastRenderedPageBreak/>
              <w:t>b)</w:t>
            </w:r>
            <w:r w:rsidRPr="007C70C7">
              <w:rPr>
                <w:rFonts w:ascii="Times New Roman" w:hAnsi="Times New Roman" w:cs="Times New Roman"/>
                <w:sz w:val="18"/>
                <w:szCs w:val="18"/>
              </w:rPr>
              <w:tab/>
              <w:t>í beinu framhaldi af sögulegum fjárhagsupplýsingum, lýsing í frásagnarformi á muninum milli reglu</w:t>
            </w:r>
            <w:r w:rsidRPr="007C70C7">
              <w:rPr>
                <w:rFonts w:ascii="Times New Roman" w:hAnsi="Times New Roman" w:cs="Times New Roman"/>
                <w:sz w:val="18"/>
                <w:szCs w:val="18"/>
              </w:rPr>
              <w:softHyphen/>
              <w:t>gerðar (EB) nr. 1606/2002, sem Sambandið hefur samþykkt, og þeim reikningsskilareglum sem út</w:t>
            </w:r>
            <w:r w:rsidRPr="007C70C7">
              <w:rPr>
                <w:rFonts w:ascii="Times New Roman" w:hAnsi="Times New Roman" w:cs="Times New Roman"/>
                <w:sz w:val="18"/>
                <w:szCs w:val="18"/>
              </w:rPr>
              <w:softHyphen/>
              <w:t>gefandinn notar við gerð reikningsskila sinna.</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8.2.a.2</w:t>
            </w:r>
          </w:p>
        </w:tc>
        <w:tc>
          <w:tcPr>
            <w:tcW w:w="7371" w:type="dxa"/>
            <w:tcBorders>
              <w:right w:val="nil"/>
            </w:tcBorders>
          </w:tcPr>
          <w:p w:rsidR="00D62A9F" w:rsidRPr="007C70C7" w:rsidRDefault="00D62A9F"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Séu endurskoðuðu fjárhagsupplýsingarnar samdar samkvæmt landsbundnum reikningsskilastöðlum skulu þær a.m.k. hafa að geyma eftirfarandi:</w:t>
            </w:r>
          </w:p>
          <w:p w:rsidR="00D62A9F" w:rsidRPr="007C70C7" w:rsidRDefault="00D62A9F" w:rsidP="00D62A9F">
            <w:pPr>
              <w:pStyle w:val="Tflutexti"/>
              <w:spacing w:after="0"/>
              <w:ind w:left="324" w:hanging="324"/>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efna,hagsreikning,</w:t>
            </w:r>
          </w:p>
          <w:p w:rsidR="00D62A9F" w:rsidRPr="007C70C7" w:rsidRDefault="00D62A9F" w:rsidP="00D62A9F">
            <w:pPr>
              <w:pStyle w:val="Tflutexti"/>
              <w:spacing w:before="0" w:after="0"/>
              <w:ind w:left="324" w:hanging="324"/>
              <w:rPr>
                <w:rFonts w:ascii="Times New Roman" w:hAnsi="Times New Roman" w:cs="Times New Roman"/>
                <w:sz w:val="18"/>
                <w:szCs w:val="18"/>
              </w:rPr>
            </w:pPr>
            <w:r w:rsidRPr="007C70C7">
              <w:rPr>
                <w:rFonts w:ascii="Times New Roman" w:hAnsi="Times New Roman" w:cs="Times New Roman"/>
                <w:sz w:val="18"/>
                <w:szCs w:val="18"/>
              </w:rPr>
              <w:t>b)</w:t>
            </w:r>
            <w:r w:rsidRPr="007C70C7">
              <w:rPr>
                <w:rFonts w:ascii="Times New Roman" w:hAnsi="Times New Roman" w:cs="Times New Roman"/>
                <w:sz w:val="18"/>
                <w:szCs w:val="18"/>
              </w:rPr>
              <w:tab/>
              <w:t>rekstrarreikning,</w:t>
            </w:r>
          </w:p>
          <w:p w:rsidR="00D62A9F" w:rsidRPr="007C70C7" w:rsidRDefault="00D62A9F" w:rsidP="00D62A9F">
            <w:pPr>
              <w:pStyle w:val="Tflutexti"/>
              <w:spacing w:before="0"/>
              <w:ind w:left="324" w:hanging="324"/>
              <w:rPr>
                <w:rFonts w:ascii="Times New Roman" w:hAnsi="Times New Roman" w:cs="Times New Roman"/>
                <w:sz w:val="18"/>
                <w:szCs w:val="18"/>
              </w:rPr>
            </w:pPr>
            <w:r w:rsidRPr="007C70C7">
              <w:rPr>
                <w:rFonts w:ascii="Times New Roman" w:hAnsi="Times New Roman" w:cs="Times New Roman"/>
                <w:sz w:val="18"/>
                <w:szCs w:val="18"/>
              </w:rPr>
              <w:t>c)</w:t>
            </w:r>
            <w:r w:rsidRPr="007C70C7">
              <w:rPr>
                <w:rFonts w:ascii="Times New Roman" w:hAnsi="Times New Roman" w:cs="Times New Roman"/>
                <w:sz w:val="18"/>
                <w:szCs w:val="18"/>
              </w:rPr>
              <w:tab/>
              <w:t>reikningsskilaaðferðir og skýringar.</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35278A"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8.2.a.3</w:t>
            </w:r>
          </w:p>
        </w:tc>
        <w:tc>
          <w:tcPr>
            <w:tcW w:w="7371" w:type="dxa"/>
            <w:tcBorders>
              <w:right w:val="nil"/>
            </w:tcBorders>
          </w:tcPr>
          <w:p w:rsidR="0035278A" w:rsidRPr="007C70C7" w:rsidRDefault="0035278A" w:rsidP="0035278A">
            <w:pPr>
              <w:pStyle w:val="Tflutexti"/>
              <w:rPr>
                <w:rFonts w:ascii="Times New Roman" w:hAnsi="Times New Roman" w:cs="Times New Roman"/>
                <w:sz w:val="18"/>
                <w:szCs w:val="18"/>
              </w:rPr>
            </w:pPr>
            <w:r w:rsidRPr="007C70C7">
              <w:rPr>
                <w:rFonts w:ascii="Times New Roman" w:hAnsi="Times New Roman" w:cs="Times New Roman"/>
                <w:sz w:val="18"/>
                <w:szCs w:val="18"/>
              </w:rPr>
              <w:t>Áritun endurskoðanda</w:t>
            </w:r>
          </w:p>
          <w:p w:rsidR="0035278A" w:rsidRPr="007C70C7" w:rsidRDefault="0035278A" w:rsidP="0035278A">
            <w:pPr>
              <w:pStyle w:val="Tflutexti"/>
              <w:rPr>
                <w:rFonts w:ascii="Times New Roman" w:hAnsi="Times New Roman" w:cs="Times New Roman"/>
                <w:sz w:val="18"/>
                <w:szCs w:val="18"/>
              </w:rPr>
            </w:pPr>
            <w:r w:rsidRPr="007C70C7">
              <w:rPr>
                <w:rFonts w:ascii="Times New Roman" w:hAnsi="Times New Roman" w:cs="Times New Roman"/>
                <w:sz w:val="18"/>
                <w:szCs w:val="18"/>
              </w:rPr>
              <w:t>Sögulegu fjárhagsupplýsingarnar skulu hafa verið endurskoðaðar á óháðan hátt. Áritun endurskoðanda skal samin í samræmi við tilskipun 2014/56/ESB og reglugerð (ESB) nr. 537/2014.</w:t>
            </w:r>
          </w:p>
          <w:p w:rsidR="0035278A" w:rsidRPr="007C70C7" w:rsidRDefault="0035278A" w:rsidP="0035278A">
            <w:pPr>
              <w:pStyle w:val="Tflutexti"/>
              <w:rPr>
                <w:rFonts w:ascii="Times New Roman" w:hAnsi="Times New Roman" w:cs="Times New Roman"/>
                <w:sz w:val="18"/>
                <w:szCs w:val="18"/>
              </w:rPr>
            </w:pPr>
            <w:r w:rsidRPr="007C70C7">
              <w:rPr>
                <w:rFonts w:ascii="Times New Roman" w:hAnsi="Times New Roman" w:cs="Times New Roman"/>
                <w:sz w:val="18"/>
                <w:szCs w:val="18"/>
              </w:rPr>
              <w:t>Ef tilskipun 2014/56/ESB og reglugerð (ESB) nr. 537/2014 eiga ekki við:</w:t>
            </w:r>
          </w:p>
          <w:p w:rsidR="0035278A" w:rsidRPr="007C70C7" w:rsidRDefault="0035278A" w:rsidP="0035278A">
            <w:pPr>
              <w:pStyle w:val="Tflutexti"/>
              <w:ind w:left="324" w:hanging="324"/>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skulu sögulegar fjárhagsupplýsingar vera endurskoðaðar eða tilkynnt um hvort þær gefi glögga mynd af útgefanda í útgefandalýsingunni í samræmi við endurskoðunarstaðla sem gilda í viðkomandi aðildarríki, eða sambærilegan staðal. Að öðrum kosti skulu eftirfarandi upplýsingar koma fram í út</w:t>
            </w:r>
            <w:r w:rsidRPr="007C70C7">
              <w:rPr>
                <w:rFonts w:ascii="Times New Roman" w:hAnsi="Times New Roman" w:cs="Times New Roman"/>
                <w:sz w:val="18"/>
                <w:szCs w:val="18"/>
              </w:rPr>
              <w:softHyphen/>
              <w:t>gefandalýsingunni:</w:t>
            </w:r>
          </w:p>
          <w:p w:rsidR="0035278A" w:rsidRPr="007C70C7" w:rsidRDefault="0035278A" w:rsidP="0035278A">
            <w:pPr>
              <w:pStyle w:val="Tflutexti"/>
              <w:spacing w:after="0"/>
              <w:ind w:left="324" w:hanging="324"/>
              <w:rPr>
                <w:rFonts w:ascii="Times New Roman" w:hAnsi="Times New Roman" w:cs="Times New Roman"/>
                <w:sz w:val="18"/>
                <w:szCs w:val="18"/>
              </w:rPr>
            </w:pPr>
            <w:r w:rsidRPr="007C70C7">
              <w:rPr>
                <w:rFonts w:ascii="Times New Roman" w:hAnsi="Times New Roman" w:cs="Times New Roman"/>
                <w:sz w:val="18"/>
                <w:szCs w:val="18"/>
              </w:rPr>
              <w:tab/>
              <w:t>i.</w:t>
            </w:r>
            <w:r w:rsidRPr="007C70C7">
              <w:rPr>
                <w:rFonts w:ascii="Times New Roman" w:hAnsi="Times New Roman" w:cs="Times New Roman"/>
                <w:sz w:val="18"/>
                <w:szCs w:val="18"/>
              </w:rPr>
              <w:tab/>
              <w:t>áberandi yfirlýsing þar sem tilgreint er hvaða endurskoðunarstöðlum var beitt,</w:t>
            </w:r>
          </w:p>
          <w:p w:rsidR="0035278A" w:rsidRPr="007C70C7" w:rsidRDefault="0035278A" w:rsidP="0035278A">
            <w:pPr>
              <w:pStyle w:val="Tflutexti"/>
              <w:spacing w:before="0"/>
              <w:ind w:left="324" w:hanging="324"/>
              <w:rPr>
                <w:rFonts w:ascii="Times New Roman" w:hAnsi="Times New Roman" w:cs="Times New Roman"/>
                <w:sz w:val="18"/>
                <w:szCs w:val="18"/>
              </w:rPr>
            </w:pPr>
            <w:r w:rsidRPr="007C70C7">
              <w:rPr>
                <w:rFonts w:ascii="Times New Roman" w:hAnsi="Times New Roman" w:cs="Times New Roman"/>
                <w:sz w:val="18"/>
                <w:szCs w:val="18"/>
              </w:rPr>
              <w:tab/>
            </w:r>
            <w:proofErr w:type="spellStart"/>
            <w:r w:rsidRPr="007C70C7">
              <w:rPr>
                <w:rFonts w:ascii="Times New Roman" w:hAnsi="Times New Roman" w:cs="Times New Roman"/>
                <w:sz w:val="18"/>
                <w:szCs w:val="18"/>
              </w:rPr>
              <w:t>ii</w:t>
            </w:r>
            <w:proofErr w:type="spellEnd"/>
            <w:r w:rsidRPr="007C70C7">
              <w:rPr>
                <w:rFonts w:ascii="Times New Roman" w:hAnsi="Times New Roman" w:cs="Times New Roman"/>
                <w:sz w:val="18"/>
                <w:szCs w:val="18"/>
              </w:rPr>
              <w:t>.</w:t>
            </w:r>
            <w:r w:rsidRPr="007C70C7">
              <w:rPr>
                <w:rFonts w:ascii="Times New Roman" w:hAnsi="Times New Roman" w:cs="Times New Roman"/>
                <w:sz w:val="18"/>
                <w:szCs w:val="18"/>
              </w:rPr>
              <w:tab/>
              <w:t>útskýring ef veruleg frávik eru frá alþjóðlegum endurskoðunarstöðlum (ISA),</w:t>
            </w:r>
          </w:p>
          <w:p w:rsidR="00D62A9F" w:rsidRPr="007C70C7" w:rsidRDefault="0035278A" w:rsidP="0035278A">
            <w:pPr>
              <w:pStyle w:val="Tflutexti"/>
              <w:ind w:left="324" w:hanging="324"/>
              <w:rPr>
                <w:rFonts w:ascii="Times New Roman" w:hAnsi="Times New Roman" w:cs="Times New Roman"/>
                <w:sz w:val="18"/>
                <w:szCs w:val="18"/>
              </w:rPr>
            </w:pPr>
            <w:r w:rsidRPr="007C70C7">
              <w:rPr>
                <w:rFonts w:ascii="Times New Roman" w:hAnsi="Times New Roman" w:cs="Times New Roman"/>
                <w:sz w:val="18"/>
                <w:szCs w:val="18"/>
              </w:rPr>
              <w:t>b)</w:t>
            </w:r>
            <w:r w:rsidRPr="007C70C7">
              <w:rPr>
                <w:rFonts w:ascii="Times New Roman" w:hAnsi="Times New Roman" w:cs="Times New Roman"/>
                <w:sz w:val="18"/>
                <w:szCs w:val="18"/>
              </w:rPr>
              <w:tab/>
              <w:t>yfirlýsing um að sögulegar fjárhagsupplýsingar hafi verið endurskoðaðar. Hafi löggiltir endurskoð</w:t>
            </w:r>
            <w:r w:rsidRPr="007C70C7">
              <w:rPr>
                <w:rFonts w:ascii="Times New Roman" w:hAnsi="Times New Roman" w:cs="Times New Roman"/>
                <w:sz w:val="18"/>
                <w:szCs w:val="18"/>
              </w:rPr>
              <w:softHyphen/>
              <w:t>endur synjað um áritun sögulegra fjárhagsupplýsinga eða sé áritun þeirra með fyrirvara, breyttu áliti, án álits eða með ábendingum skal birta slíka synjun, fyrirvara, breytingar, áritanir án álits eða ábend</w:t>
            </w:r>
            <w:r w:rsidRPr="007C70C7">
              <w:rPr>
                <w:rFonts w:ascii="Times New Roman" w:hAnsi="Times New Roman" w:cs="Times New Roman"/>
                <w:sz w:val="18"/>
                <w:szCs w:val="18"/>
              </w:rPr>
              <w:softHyphen/>
              <w:t>ingar í heild sinni og tilgreina ástæður þeirra.</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35278A"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8.3.</w:t>
            </w:r>
          </w:p>
        </w:tc>
        <w:tc>
          <w:tcPr>
            <w:tcW w:w="7371" w:type="dxa"/>
            <w:tcBorders>
              <w:right w:val="nil"/>
            </w:tcBorders>
          </w:tcPr>
          <w:p w:rsidR="0035278A" w:rsidRPr="007C70C7" w:rsidRDefault="0035278A" w:rsidP="0035278A">
            <w:pPr>
              <w:pStyle w:val="Tflutexti"/>
              <w:rPr>
                <w:rFonts w:ascii="Times New Roman" w:hAnsi="Times New Roman" w:cs="Times New Roman"/>
                <w:sz w:val="18"/>
                <w:szCs w:val="18"/>
              </w:rPr>
            </w:pPr>
            <w:r w:rsidRPr="007C70C7">
              <w:rPr>
                <w:rFonts w:ascii="Times New Roman" w:hAnsi="Times New Roman" w:cs="Times New Roman"/>
                <w:sz w:val="18"/>
                <w:szCs w:val="18"/>
              </w:rPr>
              <w:t>Dómsmál og gerðardómsmál</w:t>
            </w:r>
          </w:p>
          <w:p w:rsidR="00D62A9F" w:rsidRPr="007C70C7" w:rsidRDefault="0035278A" w:rsidP="0035278A">
            <w:pPr>
              <w:pStyle w:val="Tflutexti"/>
              <w:rPr>
                <w:rFonts w:ascii="Times New Roman" w:hAnsi="Times New Roman" w:cs="Times New Roman"/>
                <w:sz w:val="18"/>
                <w:szCs w:val="18"/>
              </w:rPr>
            </w:pPr>
            <w:r w:rsidRPr="007C70C7">
              <w:rPr>
                <w:rFonts w:ascii="Times New Roman" w:hAnsi="Times New Roman" w:cs="Times New Roman"/>
                <w:sz w:val="18"/>
                <w:szCs w:val="18"/>
              </w:rPr>
              <w:t>Upplýsingar um stjórnsýslu-, dóms- eða gerðardómsmál (þ.m.t. þau mál sem bíða meðferðar eða eru yfirvofandi og félaginu er kunnugt um) á a.m.k. síðustu tólf mánuðum sem kunna að hafa, eða hafa nýlega haft, veruleg áhrif á fjárhagsstöðu eða arðsemi útgefanda og/eða samstæðunnar eða yfirlýsing um að ekki sé um slík mál að ræða.</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35278A"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8.4.</w:t>
            </w:r>
          </w:p>
        </w:tc>
        <w:tc>
          <w:tcPr>
            <w:tcW w:w="7371" w:type="dxa"/>
            <w:tcBorders>
              <w:right w:val="nil"/>
            </w:tcBorders>
          </w:tcPr>
          <w:p w:rsidR="0035278A" w:rsidRPr="007C70C7" w:rsidRDefault="0035278A" w:rsidP="0035278A">
            <w:pPr>
              <w:pStyle w:val="Tflutexti"/>
              <w:rPr>
                <w:rFonts w:ascii="Times New Roman" w:hAnsi="Times New Roman" w:cs="Times New Roman"/>
                <w:sz w:val="18"/>
                <w:szCs w:val="18"/>
              </w:rPr>
            </w:pPr>
            <w:r w:rsidRPr="007C70C7">
              <w:rPr>
                <w:rFonts w:ascii="Times New Roman" w:hAnsi="Times New Roman" w:cs="Times New Roman"/>
                <w:sz w:val="18"/>
                <w:szCs w:val="18"/>
              </w:rPr>
              <w:t>Verulegar óæskilegar breytingar á fjárhagsstöðu útgefanda</w:t>
            </w:r>
          </w:p>
          <w:p w:rsidR="00D62A9F" w:rsidRPr="007C70C7" w:rsidRDefault="0035278A" w:rsidP="0035278A">
            <w:pPr>
              <w:pStyle w:val="Tflutexti"/>
              <w:rPr>
                <w:rFonts w:ascii="Times New Roman" w:hAnsi="Times New Roman" w:cs="Times New Roman"/>
                <w:sz w:val="18"/>
                <w:szCs w:val="18"/>
              </w:rPr>
            </w:pPr>
            <w:r w:rsidRPr="007C70C7">
              <w:rPr>
                <w:rFonts w:ascii="Times New Roman" w:hAnsi="Times New Roman" w:cs="Times New Roman"/>
                <w:sz w:val="18"/>
                <w:szCs w:val="18"/>
              </w:rPr>
              <w:t>Hafi útgefandi samið reikningsskil skal fylgja yfirlýsing þess efnis að ekki hafi orðið neinar verulegar óæskilegar breytingar á fjárhagsstöðu eða framtíðarhorfum útgefanda frá dagsetningu síðustu birtu endurskoðuðu reikningsskila. Hafi veruleg óæskileg breyting átt sér stað skal greina frá því í útgefandalýsingu.</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35278A"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9. ÞÁTTUR</w:t>
            </w:r>
          </w:p>
        </w:tc>
        <w:tc>
          <w:tcPr>
            <w:tcW w:w="7371" w:type="dxa"/>
            <w:tcBorders>
              <w:right w:val="nil"/>
            </w:tcBorders>
          </w:tcPr>
          <w:p w:rsidR="00D62A9F" w:rsidRPr="007C70C7" w:rsidRDefault="0035278A"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TILTÆK SKJÖL</w:t>
            </w:r>
          </w:p>
        </w:tc>
      </w:tr>
      <w:tr w:rsidR="00D62A9F" w:rsidRPr="007C70C7" w:rsidTr="0056743C">
        <w:tc>
          <w:tcPr>
            <w:tcW w:w="846" w:type="dxa"/>
            <w:tcBorders>
              <w:left w:val="nil"/>
            </w:tcBorders>
          </w:tcPr>
          <w:p w:rsidR="00D62A9F" w:rsidRPr="007C70C7" w:rsidRDefault="00D62A9F" w:rsidP="00D62A9F">
            <w:pPr>
              <w:pStyle w:val="Meginml"/>
              <w:rPr>
                <w:rFonts w:ascii="Times New Roman" w:hAnsi="Times New Roman" w:cs="Times New Roman"/>
                <w:sz w:val="18"/>
                <w:szCs w:val="18"/>
              </w:rPr>
            </w:pPr>
          </w:p>
        </w:tc>
        <w:tc>
          <w:tcPr>
            <w:tcW w:w="1134" w:type="dxa"/>
          </w:tcPr>
          <w:p w:rsidR="00D62A9F" w:rsidRPr="007C70C7" w:rsidRDefault="0035278A" w:rsidP="00D62A9F">
            <w:pPr>
              <w:pStyle w:val="Tflutexti"/>
              <w:rPr>
                <w:rFonts w:ascii="Times New Roman" w:hAnsi="Times New Roman" w:cs="Times New Roman"/>
                <w:sz w:val="18"/>
                <w:szCs w:val="18"/>
              </w:rPr>
            </w:pPr>
            <w:r w:rsidRPr="007C70C7">
              <w:rPr>
                <w:rFonts w:ascii="Times New Roman" w:hAnsi="Times New Roman" w:cs="Times New Roman"/>
                <w:sz w:val="18"/>
                <w:szCs w:val="18"/>
              </w:rPr>
              <w:t>Liður 9.1.</w:t>
            </w:r>
          </w:p>
        </w:tc>
        <w:tc>
          <w:tcPr>
            <w:tcW w:w="7371" w:type="dxa"/>
            <w:tcBorders>
              <w:right w:val="nil"/>
            </w:tcBorders>
          </w:tcPr>
          <w:p w:rsidR="0035278A" w:rsidRPr="007C70C7" w:rsidRDefault="0035278A" w:rsidP="0035278A">
            <w:pPr>
              <w:pStyle w:val="Tflutexti"/>
              <w:rPr>
                <w:rFonts w:ascii="Times New Roman" w:hAnsi="Times New Roman" w:cs="Times New Roman"/>
                <w:sz w:val="18"/>
                <w:szCs w:val="18"/>
              </w:rPr>
            </w:pPr>
            <w:r w:rsidRPr="007C70C7">
              <w:rPr>
                <w:rFonts w:ascii="Times New Roman" w:hAnsi="Times New Roman" w:cs="Times New Roman"/>
                <w:sz w:val="18"/>
                <w:szCs w:val="18"/>
              </w:rPr>
              <w:t>Yfirlýsing um að á gildistíma útgefandalýsingar sé unnt, eftir atvikum, að skoða eftirfarandi skjöl:</w:t>
            </w:r>
          </w:p>
          <w:p w:rsidR="0035278A" w:rsidRPr="007C70C7" w:rsidRDefault="0035278A" w:rsidP="0035278A">
            <w:pPr>
              <w:pStyle w:val="Tflutexti"/>
              <w:spacing w:after="0"/>
              <w:ind w:left="324" w:hanging="324"/>
              <w:rPr>
                <w:rFonts w:ascii="Times New Roman" w:hAnsi="Times New Roman" w:cs="Times New Roman"/>
                <w:sz w:val="18"/>
                <w:szCs w:val="18"/>
              </w:rPr>
            </w:pPr>
            <w:r w:rsidRPr="007C70C7">
              <w:rPr>
                <w:rFonts w:ascii="Times New Roman" w:hAnsi="Times New Roman" w:cs="Times New Roman"/>
                <w:sz w:val="18"/>
                <w:szCs w:val="18"/>
              </w:rPr>
              <w:t>a)</w:t>
            </w:r>
            <w:r w:rsidRPr="007C70C7">
              <w:rPr>
                <w:rFonts w:ascii="Times New Roman" w:hAnsi="Times New Roman" w:cs="Times New Roman"/>
                <w:sz w:val="18"/>
                <w:szCs w:val="18"/>
              </w:rPr>
              <w:tab/>
              <w:t>stofnsamning og gildandi samþykktir útgefanda,</w:t>
            </w:r>
          </w:p>
          <w:p w:rsidR="0035278A" w:rsidRPr="007C70C7" w:rsidRDefault="0035278A" w:rsidP="0035278A">
            <w:pPr>
              <w:pStyle w:val="Tflutexti"/>
              <w:spacing w:before="0"/>
              <w:ind w:left="324" w:hanging="324"/>
              <w:rPr>
                <w:rFonts w:ascii="Times New Roman" w:hAnsi="Times New Roman" w:cs="Times New Roman"/>
                <w:sz w:val="18"/>
                <w:szCs w:val="18"/>
              </w:rPr>
            </w:pPr>
            <w:r w:rsidRPr="007C70C7">
              <w:rPr>
                <w:rFonts w:ascii="Times New Roman" w:hAnsi="Times New Roman" w:cs="Times New Roman"/>
                <w:sz w:val="18"/>
                <w:szCs w:val="18"/>
              </w:rPr>
              <w:t>b)</w:t>
            </w:r>
            <w:r w:rsidRPr="007C70C7">
              <w:rPr>
                <w:rFonts w:ascii="Times New Roman" w:hAnsi="Times New Roman" w:cs="Times New Roman"/>
                <w:sz w:val="18"/>
                <w:szCs w:val="18"/>
              </w:rPr>
              <w:tab/>
              <w:t>allar skýrslur, bréf og önnur skjöl, sögulegar fjárhagsupplýsingar, mats- og greinargerðir sem eru samdar af sérfræðingum að beiðni útgefanda, sem eru að einhverju leyti felldar inn í eða vísað til í útgefandalýsingu.</w:t>
            </w:r>
          </w:p>
          <w:p w:rsidR="00D62A9F" w:rsidRPr="007C70C7" w:rsidRDefault="0035278A" w:rsidP="0035278A">
            <w:pPr>
              <w:pStyle w:val="Tflutexti"/>
              <w:ind w:left="324" w:hanging="324"/>
              <w:rPr>
                <w:rFonts w:ascii="Times New Roman" w:hAnsi="Times New Roman" w:cs="Times New Roman"/>
                <w:sz w:val="18"/>
                <w:szCs w:val="18"/>
              </w:rPr>
            </w:pPr>
            <w:r w:rsidRPr="007C70C7">
              <w:rPr>
                <w:rFonts w:ascii="Times New Roman" w:hAnsi="Times New Roman" w:cs="Times New Roman"/>
                <w:sz w:val="18"/>
                <w:szCs w:val="18"/>
              </w:rPr>
              <w:t>Tilgreina skal vefsetur þar sem hægt er að skoða skjölin.</w:t>
            </w:r>
          </w:p>
        </w:tc>
      </w:tr>
    </w:tbl>
    <w:p w:rsidR="0056743C" w:rsidRPr="007C70C7" w:rsidRDefault="0056743C" w:rsidP="0056743C">
      <w:pPr>
        <w:pStyle w:val="Meginml"/>
        <w:rPr>
          <w:rFonts w:ascii="Times New Roman" w:hAnsi="Times New Roman" w:cs="Times New Roman"/>
          <w:sz w:val="18"/>
          <w:szCs w:val="18"/>
        </w:rPr>
      </w:pPr>
    </w:p>
    <w:sectPr w:rsidR="0056743C" w:rsidRPr="007C70C7"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C" w:rsidRDefault="0056743C" w:rsidP="004C2AD6">
      <w:r>
        <w:separator/>
      </w:r>
    </w:p>
  </w:endnote>
  <w:endnote w:type="continuationSeparator" w:id="0">
    <w:p w:rsidR="0056743C" w:rsidRDefault="0056743C"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BC06D8" w:rsidRDefault="0056743C"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7C70C7">
          <w:rPr>
            <w:rFonts w:ascii="Syntax LT Std" w:hAnsi="Syntax LT Std"/>
            <w:noProof/>
            <w:sz w:val="18"/>
            <w:szCs w:val="18"/>
          </w:rPr>
          <w:t>2</w:t>
        </w:r>
        <w:r w:rsidRPr="00BC06D8">
          <w:rPr>
            <w:rFonts w:ascii="Syntax LT Std" w:hAnsi="Syntax LT Std"/>
            <w:noProof/>
            <w:sz w:val="18"/>
            <w:szCs w:val="18"/>
          </w:rPr>
          <w:fldChar w:fldCharType="end"/>
        </w:r>
      </w:sdtContent>
    </w:sdt>
    <w:r w:rsidRPr="00BC06D8">
      <w:rPr>
        <w:noProof/>
      </w:rPr>
      <w:tab/>
    </w:r>
    <w:r w:rsidRPr="00BC06D8">
      <w:rPr>
        <w:noProof/>
      </w:rPr>
      <w:tab/>
    </w:r>
  </w:p>
  <w:p w:rsidR="0056743C" w:rsidRPr="007F6312" w:rsidRDefault="0056743C">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5E0130" w:rsidRDefault="0056743C">
    <w:pPr>
      <w:pStyle w:val="Footer"/>
      <w:jc w:val="center"/>
      <w:rPr>
        <w:rFonts w:ascii="Syntax LT Std" w:hAnsi="Syntax LT Std"/>
        <w:sz w:val="18"/>
        <w:szCs w:val="18"/>
      </w:rPr>
    </w:pPr>
  </w:p>
  <w:p w:rsidR="0056743C" w:rsidRDefault="005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C" w:rsidRDefault="0056743C" w:rsidP="004C2AD6">
      <w:r>
        <w:separator/>
      </w:r>
    </w:p>
  </w:footnote>
  <w:footnote w:type="continuationSeparator" w:id="0">
    <w:p w:rsidR="0056743C" w:rsidRDefault="0056743C"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p>
  <w:p w:rsidR="0056743C" w:rsidRDefault="0056743C">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onsecutiveHyphenLimit w:val="3"/>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16CB1"/>
    <w:rsid w:val="000472F2"/>
    <w:rsid w:val="00047C92"/>
    <w:rsid w:val="00071910"/>
    <w:rsid w:val="0008056E"/>
    <w:rsid w:val="000969A7"/>
    <w:rsid w:val="000B1246"/>
    <w:rsid w:val="000C4A85"/>
    <w:rsid w:val="000E3F84"/>
    <w:rsid w:val="000F41BB"/>
    <w:rsid w:val="00110951"/>
    <w:rsid w:val="00112D07"/>
    <w:rsid w:val="00115C50"/>
    <w:rsid w:val="00115F06"/>
    <w:rsid w:val="00124A1D"/>
    <w:rsid w:val="00124A7B"/>
    <w:rsid w:val="001450DB"/>
    <w:rsid w:val="00145496"/>
    <w:rsid w:val="0015527B"/>
    <w:rsid w:val="00166A8A"/>
    <w:rsid w:val="00173F0B"/>
    <w:rsid w:val="00184B00"/>
    <w:rsid w:val="001900B4"/>
    <w:rsid w:val="00193857"/>
    <w:rsid w:val="00193BC3"/>
    <w:rsid w:val="001A4B41"/>
    <w:rsid w:val="001C014B"/>
    <w:rsid w:val="001E5E3E"/>
    <w:rsid w:val="001F20DA"/>
    <w:rsid w:val="0023476A"/>
    <w:rsid w:val="0027081A"/>
    <w:rsid w:val="002776DC"/>
    <w:rsid w:val="00281163"/>
    <w:rsid w:val="002834C2"/>
    <w:rsid w:val="002C14F6"/>
    <w:rsid w:val="002C1F03"/>
    <w:rsid w:val="002C4DEE"/>
    <w:rsid w:val="002D383E"/>
    <w:rsid w:val="002D5752"/>
    <w:rsid w:val="002E73A5"/>
    <w:rsid w:val="002F5BAF"/>
    <w:rsid w:val="0034708D"/>
    <w:rsid w:val="0035278A"/>
    <w:rsid w:val="003530CE"/>
    <w:rsid w:val="0037551E"/>
    <w:rsid w:val="0038196C"/>
    <w:rsid w:val="003A2E21"/>
    <w:rsid w:val="003A6ACB"/>
    <w:rsid w:val="003B26F8"/>
    <w:rsid w:val="003B7EF8"/>
    <w:rsid w:val="003C4A95"/>
    <w:rsid w:val="00400584"/>
    <w:rsid w:val="00431712"/>
    <w:rsid w:val="00453322"/>
    <w:rsid w:val="00472427"/>
    <w:rsid w:val="004B390F"/>
    <w:rsid w:val="004C2AD6"/>
    <w:rsid w:val="004F7A17"/>
    <w:rsid w:val="005408A1"/>
    <w:rsid w:val="00551F59"/>
    <w:rsid w:val="00553173"/>
    <w:rsid w:val="0056743C"/>
    <w:rsid w:val="005A29F9"/>
    <w:rsid w:val="005E0130"/>
    <w:rsid w:val="005F58FF"/>
    <w:rsid w:val="00606C30"/>
    <w:rsid w:val="00616F56"/>
    <w:rsid w:val="00620C4C"/>
    <w:rsid w:val="00621A1C"/>
    <w:rsid w:val="00625694"/>
    <w:rsid w:val="00646C80"/>
    <w:rsid w:val="00651203"/>
    <w:rsid w:val="006743E4"/>
    <w:rsid w:val="006A09C0"/>
    <w:rsid w:val="006C5373"/>
    <w:rsid w:val="006C70F2"/>
    <w:rsid w:val="006D601C"/>
    <w:rsid w:val="006D7F78"/>
    <w:rsid w:val="00702DD5"/>
    <w:rsid w:val="00706462"/>
    <w:rsid w:val="00737D2D"/>
    <w:rsid w:val="00753BAC"/>
    <w:rsid w:val="00760BE8"/>
    <w:rsid w:val="007B0B36"/>
    <w:rsid w:val="007B4FD3"/>
    <w:rsid w:val="007B5B30"/>
    <w:rsid w:val="007C70C7"/>
    <w:rsid w:val="007E461F"/>
    <w:rsid w:val="007F6312"/>
    <w:rsid w:val="00800EC5"/>
    <w:rsid w:val="008102DF"/>
    <w:rsid w:val="00843318"/>
    <w:rsid w:val="00852758"/>
    <w:rsid w:val="00884E14"/>
    <w:rsid w:val="008A14B5"/>
    <w:rsid w:val="008A15DC"/>
    <w:rsid w:val="008D2569"/>
    <w:rsid w:val="008D3D19"/>
    <w:rsid w:val="00911C1E"/>
    <w:rsid w:val="0093269A"/>
    <w:rsid w:val="00934E11"/>
    <w:rsid w:val="0096481A"/>
    <w:rsid w:val="0096694E"/>
    <w:rsid w:val="009B6F21"/>
    <w:rsid w:val="009C2663"/>
    <w:rsid w:val="009D0B31"/>
    <w:rsid w:val="009D541A"/>
    <w:rsid w:val="00A6629E"/>
    <w:rsid w:val="00A83EDE"/>
    <w:rsid w:val="00AE62B0"/>
    <w:rsid w:val="00B14D7F"/>
    <w:rsid w:val="00B15DBD"/>
    <w:rsid w:val="00B271B8"/>
    <w:rsid w:val="00B47397"/>
    <w:rsid w:val="00B724CE"/>
    <w:rsid w:val="00B75D56"/>
    <w:rsid w:val="00B851E6"/>
    <w:rsid w:val="00B948CF"/>
    <w:rsid w:val="00BB226F"/>
    <w:rsid w:val="00BC06D8"/>
    <w:rsid w:val="00BC4587"/>
    <w:rsid w:val="00BF72D5"/>
    <w:rsid w:val="00C50053"/>
    <w:rsid w:val="00C5268A"/>
    <w:rsid w:val="00C61062"/>
    <w:rsid w:val="00C7686E"/>
    <w:rsid w:val="00CB34D8"/>
    <w:rsid w:val="00CC5632"/>
    <w:rsid w:val="00CD20EA"/>
    <w:rsid w:val="00CF771D"/>
    <w:rsid w:val="00D16F4E"/>
    <w:rsid w:val="00D226DA"/>
    <w:rsid w:val="00D62A9F"/>
    <w:rsid w:val="00D70593"/>
    <w:rsid w:val="00D94D99"/>
    <w:rsid w:val="00DB324A"/>
    <w:rsid w:val="00DC4C8B"/>
    <w:rsid w:val="00DE116E"/>
    <w:rsid w:val="00DF0B2D"/>
    <w:rsid w:val="00E272DD"/>
    <w:rsid w:val="00E343A7"/>
    <w:rsid w:val="00E55468"/>
    <w:rsid w:val="00E62101"/>
    <w:rsid w:val="00E8597A"/>
    <w:rsid w:val="00E90779"/>
    <w:rsid w:val="00EB1F15"/>
    <w:rsid w:val="00EB2C0B"/>
    <w:rsid w:val="00ED1441"/>
    <w:rsid w:val="00EE1F3A"/>
    <w:rsid w:val="00EF0CBF"/>
    <w:rsid w:val="00EF3182"/>
    <w:rsid w:val="00EF7920"/>
    <w:rsid w:val="00F256B2"/>
    <w:rsid w:val="00F54F76"/>
    <w:rsid w:val="00F662C0"/>
    <w:rsid w:val="00F72C3C"/>
    <w:rsid w:val="00F75224"/>
    <w:rsid w:val="00F87F3F"/>
    <w:rsid w:val="00FA026D"/>
    <w:rsid w:val="00FA27CA"/>
    <w:rsid w:val="00FB1772"/>
    <w:rsid w:val="00FC2984"/>
    <w:rsid w:val="00FC3D8A"/>
    <w:rsid w:val="00FC7D1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016CB1"/>
    <w:pPr>
      <w:spacing w:line="180" w:lineRule="exact"/>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customStyle="1" w:styleId="Neanmlsgreinar">
    <w:name w:val="Neðanmálsgreinar"/>
    <w:basedOn w:val="NeanmlsgreinarFME"/>
    <w:rsid w:val="00016CB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2E0DEE-4BC3-4353-8218-F78CC286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311</TotalTime>
  <Pages>4</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72</cp:revision>
  <cp:lastPrinted>2020-02-10T13:55:00Z</cp:lastPrinted>
  <dcterms:created xsi:type="dcterms:W3CDTF">2020-01-21T10:14:00Z</dcterms:created>
  <dcterms:modified xsi:type="dcterms:W3CDTF">2020-05-05T08:28:00Z</dcterms:modified>
</cp:coreProperties>
</file>