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BC4182" w:rsidRDefault="00DA0C47" w:rsidP="00B724CE">
      <w:pPr>
        <w:pStyle w:val="FyrirsgnrauFMEbaratitill"/>
        <w:spacing w:after="120"/>
        <w:jc w:val="center"/>
        <w:rPr>
          <w:rFonts w:ascii="Times New Roman" w:hAnsi="Times New Roman" w:cs="Times New Roman"/>
          <w:color w:val="000000" w:themeColor="text1"/>
        </w:rPr>
      </w:pPr>
      <w:r w:rsidRPr="00BC4182">
        <w:rPr>
          <w:rFonts w:ascii="Times New Roman" w:hAnsi="Times New Roman" w:cs="Times New Roman"/>
          <w:color w:val="000000" w:themeColor="text1"/>
        </w:rPr>
        <w:t>4</w:t>
      </w:r>
      <w:r w:rsidR="00B724CE" w:rsidRPr="00BC4182">
        <w:rPr>
          <w:rFonts w:ascii="Times New Roman" w:hAnsi="Times New Roman" w:cs="Times New Roman"/>
          <w:color w:val="000000" w:themeColor="text1"/>
        </w:rPr>
        <w:t>. VIÐAUKI</w:t>
      </w:r>
    </w:p>
    <w:p w:rsidR="00D63942" w:rsidRPr="00BC4182" w:rsidRDefault="00D63942" w:rsidP="00D63942">
      <w:pPr>
        <w:pStyle w:val="Meginml"/>
        <w:jc w:val="center"/>
        <w:rPr>
          <w:rFonts w:ascii="Times New Roman" w:eastAsiaTheme="majorEastAsia" w:hAnsi="Times New Roman" w:cs="Times New Roman"/>
          <w:sz w:val="24"/>
          <w:szCs w:val="32"/>
        </w:rPr>
      </w:pPr>
      <w:r w:rsidRPr="00BC4182">
        <w:rPr>
          <w:rFonts w:ascii="Times New Roman" w:eastAsiaTheme="majorEastAsia" w:hAnsi="Times New Roman" w:cs="Times New Roman"/>
          <w:sz w:val="24"/>
          <w:szCs w:val="32"/>
        </w:rPr>
        <w:t xml:space="preserve">ÚTGEFANDALÝSING FYRIR HLUTDEILDARSKÍRTEINI </w:t>
      </w:r>
      <w:r w:rsidRPr="00BC4182">
        <w:rPr>
          <w:rFonts w:ascii="Times New Roman" w:eastAsiaTheme="majorEastAsia" w:hAnsi="Times New Roman" w:cs="Times New Roman"/>
          <w:sz w:val="24"/>
          <w:szCs w:val="32"/>
        </w:rPr>
        <w:br/>
        <w:t>Í LOKUÐUM SJÓÐUM UM SAMEIGINLEGA FJÁRFESTINGU</w:t>
      </w:r>
    </w:p>
    <w:p w:rsidR="00B724CE" w:rsidRPr="00BC4182" w:rsidRDefault="00B724CE" w:rsidP="00B724CE">
      <w:pPr>
        <w:pStyle w:val="KaflaheitiFME"/>
        <w:spacing w:before="120"/>
        <w:jc w:val="center"/>
        <w:rPr>
          <w:rFonts w:ascii="Times New Roman" w:eastAsiaTheme="minorHAnsi" w:hAnsi="Times New Roman" w:cs="Times New Roman"/>
          <w:sz w:val="20"/>
          <w:szCs w:val="20"/>
        </w:rPr>
      </w:pPr>
      <w:r w:rsidRPr="00BC4182">
        <w:rPr>
          <w:rFonts w:ascii="Times New Roman" w:hAnsi="Times New Roman" w:cs="Times New Roman"/>
          <w:sz w:val="20"/>
          <w:szCs w:val="20"/>
        </w:rPr>
        <w:t>FRAMSELD REGL</w:t>
      </w:r>
      <w:r w:rsidR="005A581B" w:rsidRPr="00BC4182">
        <w:rPr>
          <w:rFonts w:ascii="Times New Roman" w:hAnsi="Times New Roman" w:cs="Times New Roman"/>
          <w:sz w:val="20"/>
          <w:szCs w:val="20"/>
        </w:rPr>
        <w:t>U</w:t>
      </w:r>
      <w:r w:rsidRPr="00BC4182">
        <w:rPr>
          <w:rFonts w:ascii="Times New Roman" w:hAnsi="Times New Roman" w:cs="Times New Roman"/>
          <w:sz w:val="20"/>
          <w:szCs w:val="20"/>
        </w:rPr>
        <w:t>GERÐ FRAMKVÆMDASTJÓRNARINNAR</w:t>
      </w:r>
      <w:r w:rsidR="00315932" w:rsidRPr="00BC4182">
        <w:rPr>
          <w:rFonts w:ascii="Times New Roman" w:hAnsi="Times New Roman" w:cs="Times New Roman"/>
          <w:sz w:val="20"/>
          <w:szCs w:val="20"/>
        </w:rPr>
        <w:t xml:space="preserve"> (ESB)</w:t>
      </w:r>
      <w:r w:rsidRPr="00BC4182">
        <w:rPr>
          <w:rFonts w:ascii="Times New Roman" w:hAnsi="Times New Roman" w:cs="Times New Roman"/>
          <w:sz w:val="20"/>
          <w:szCs w:val="20"/>
        </w:rPr>
        <w:t xml:space="preserve"> 2019/980</w:t>
      </w:r>
    </w:p>
    <w:p w:rsidR="00DC3823" w:rsidRPr="00BC4182" w:rsidRDefault="00DC3823" w:rsidP="00DC3823">
      <w:pPr>
        <w:pStyle w:val="Meginml"/>
        <w:jc w:val="center"/>
        <w:rPr>
          <w:rFonts w:ascii="Times New Roman" w:hAnsi="Times New Roman" w:cs="Times New Roman"/>
          <w:lang w:eastAsia="is-IS"/>
        </w:rPr>
      </w:pPr>
    </w:p>
    <w:p w:rsidR="0056743C" w:rsidRPr="00BC4182" w:rsidRDefault="00DA0C47" w:rsidP="00DC3823">
      <w:pPr>
        <w:pStyle w:val="Meginml"/>
        <w:rPr>
          <w:rFonts w:ascii="Times New Roman" w:hAnsi="Times New Roman" w:cs="Times New Roman"/>
          <w:lang w:eastAsia="is-IS"/>
        </w:rPr>
      </w:pPr>
      <w:r w:rsidRPr="00BC4182">
        <w:rPr>
          <w:rFonts w:ascii="Times New Roman" w:hAnsi="Times New Roman" w:cs="Times New Roman"/>
          <w:lang w:eastAsia="is-IS"/>
        </w:rPr>
        <w:t>Ef ósamræmi er á milli íslensks og ensks texta framseldrar reglugerðar framkvæmdastjórnarinnar</w:t>
      </w:r>
      <w:r w:rsidR="00315932" w:rsidRPr="00BC4182">
        <w:rPr>
          <w:rFonts w:ascii="Times New Roman" w:hAnsi="Times New Roman" w:cs="Times New Roman"/>
          <w:lang w:eastAsia="is-IS"/>
        </w:rPr>
        <w:t xml:space="preserve"> (ESB) 2019/980</w:t>
      </w:r>
      <w:r w:rsidRPr="00BC4182">
        <w:rPr>
          <w:rFonts w:ascii="Times New Roman" w:hAnsi="Times New Roman" w:cs="Times New Roman"/>
          <w:lang w:eastAsia="is-IS"/>
        </w:rPr>
        <w:t xml:space="preserve"> skal skýra íslenska textann með hliðsjón af enska textanum. Ef ósamræmi er á milli textans í þessu skjali og texta framseldrar reglugerðar framkvæmdastjórnarinnar</w:t>
      </w:r>
      <w:r w:rsidR="00315932" w:rsidRPr="00BC4182">
        <w:rPr>
          <w:rFonts w:ascii="Times New Roman" w:hAnsi="Times New Roman" w:cs="Times New Roman"/>
          <w:lang w:eastAsia="is-IS"/>
        </w:rPr>
        <w:t xml:space="preserve"> (ESB) 2019/980</w:t>
      </w:r>
      <w:r w:rsidRPr="00BC4182">
        <w:rPr>
          <w:rFonts w:ascii="Times New Roman" w:hAnsi="Times New Roman" w:cs="Times New Roman"/>
          <w:lang w:eastAsia="is-IS"/>
        </w:rPr>
        <w:t xml:space="preserve"> er það texti reglugerðarinnar sem gildir. </w:t>
      </w:r>
    </w:p>
    <w:p w:rsidR="00DA0C47" w:rsidRPr="00BC4182" w:rsidRDefault="00DA0C47" w:rsidP="00DA0C47">
      <w:pPr>
        <w:pStyle w:val="Meginml"/>
        <w:jc w:val="center"/>
        <w:rPr>
          <w:rFonts w:ascii="Times New Roman" w:hAnsi="Times New Roman" w:cs="Times New Roman"/>
        </w:rPr>
      </w:pPr>
    </w:p>
    <w:p w:rsidR="00DA0C47" w:rsidRPr="00BC4182" w:rsidRDefault="00DA0C47" w:rsidP="00E94720">
      <w:pPr>
        <w:pStyle w:val="Textiundantflu"/>
        <w:rPr>
          <w:rFonts w:ascii="Times New Roman" w:hAnsi="Times New Roman" w:cs="Times New Roman"/>
        </w:rPr>
      </w:pPr>
      <w:r w:rsidRPr="00BC4182">
        <w:rPr>
          <w:rFonts w:ascii="Times New Roman" w:hAnsi="Times New Roman" w:cs="Times New Roman"/>
        </w:rPr>
        <w:t xml:space="preserve">Til viðbótar þeim upplýsingum sem er krafist í þessum viðauka skulu sjóðir um sameiginlega fjárfestingu veita þær upplýsingar sem krafist er í þáttum/liðum 1, 2, 3, 4, 6, 7.1, 7.2.1, 8.4, 9 (þótt lýsing lagaumhverfis sem útgefandi starfar í þurfi aðeins að greina frá því lagaumhverfi sem skiptir máli fyrir fjárfestingar útgefanda) 11, 12, 13, 14, 15.2, 16, 17, 18 (að undanskildum </w:t>
      </w:r>
      <w:r w:rsidRPr="00BC4182">
        <w:rPr>
          <w:rFonts w:ascii="Times New Roman" w:hAnsi="Times New Roman" w:cs="Times New Roman"/>
          <w:i/>
          <w:iCs/>
        </w:rPr>
        <w:t>pro forma</w:t>
      </w:r>
      <w:r w:rsidRPr="00BC4182">
        <w:rPr>
          <w:rFonts w:ascii="Times New Roman" w:hAnsi="Times New Roman" w:cs="Times New Roman"/>
        </w:rPr>
        <w:t xml:space="preserve"> fjárhagsupplýsingum) 19, 20 og 21 í 1. viðauka eða, ef sjóðurinn um sameiginlega fjárfestingu uppfyllir kröfurnar í 1. mgr. 14. gr. reglugerðar (ESB) 2017/1129, eftirfarandi upplýsingar eftir því sem krafist er í málsgreinum og þáttum/liðum 1, 2, 3, 4, 7, 8, 9, 10, 11, 12, 13 og 14 í 3. viðauka.</w:t>
      </w:r>
    </w:p>
    <w:p w:rsidR="00DA0C47" w:rsidRPr="00BC4182" w:rsidRDefault="00DA0C47" w:rsidP="00CA75FB">
      <w:pPr>
        <w:pStyle w:val="Meginml"/>
        <w:spacing w:line="220" w:lineRule="exact"/>
        <w:rPr>
          <w:rFonts w:ascii="Times New Roman" w:hAnsi="Times New Roman" w:cs="Times New Roman"/>
          <w:sz w:val="16"/>
          <w:szCs w:val="16"/>
        </w:rPr>
      </w:pPr>
      <w:r w:rsidRPr="00BC4182">
        <w:rPr>
          <w:rFonts w:ascii="Times New Roman" w:hAnsi="Times New Roman" w:cs="Times New Roman"/>
          <w:sz w:val="16"/>
          <w:szCs w:val="16"/>
        </w:rPr>
        <w:t>Séu hlutdeildarskírteini gefin út af sjóði um sameiginlega fjárfestingu sem er stofnaður sem sameignarsjóður sem stýrt er af rekstraraðila sjóðs, skulu þær upplýsingar sem um getur í þáttum/liðum 6, 12, 13, 14, 15.2, 16 og 20 í 1. viðauka veittar um rekstraraðilann en þær upplýsingar sem tilgreindar eru í liðum 2, 4 og 18 í 1. viðauka skulu veittar um bæði sjóðinn og rekstraraðilann.</w:t>
      </w:r>
    </w:p>
    <w:p w:rsidR="00CA75FB" w:rsidRPr="00BC4182" w:rsidRDefault="00CA75FB" w:rsidP="00CA75FB">
      <w:pPr>
        <w:pStyle w:val="Meginml"/>
        <w:spacing w:line="220" w:lineRule="exact"/>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6"/>
        <w:gridCol w:w="1134"/>
        <w:gridCol w:w="7371"/>
      </w:tblGrid>
      <w:tr w:rsidR="0056743C" w:rsidRPr="00BC4182" w:rsidTr="0056743C">
        <w:tc>
          <w:tcPr>
            <w:tcW w:w="846" w:type="dxa"/>
            <w:tcBorders>
              <w:left w:val="nil"/>
            </w:tcBorders>
          </w:tcPr>
          <w:p w:rsidR="0056743C" w:rsidRPr="00BC4182" w:rsidRDefault="0056743C" w:rsidP="0056743C">
            <w:pPr>
              <w:pStyle w:val="Tflutexti"/>
              <w:spacing w:after="0"/>
              <w:rPr>
                <w:rFonts w:ascii="Times New Roman" w:hAnsi="Times New Roman" w:cs="Times New Roman"/>
                <w:sz w:val="18"/>
                <w:szCs w:val="18"/>
              </w:rPr>
            </w:pPr>
            <w:r w:rsidRPr="00BC4182">
              <w:rPr>
                <w:rFonts w:ascii="Times New Roman" w:hAnsi="Times New Roman" w:cs="Times New Roman"/>
                <w:sz w:val="18"/>
                <w:szCs w:val="18"/>
              </w:rPr>
              <w:t>Kafli nr.</w:t>
            </w:r>
          </w:p>
          <w:p w:rsidR="0056743C" w:rsidRPr="00BC4182" w:rsidRDefault="0056743C" w:rsidP="0056743C">
            <w:pPr>
              <w:pStyle w:val="Tflutexti"/>
              <w:spacing w:before="0"/>
              <w:rPr>
                <w:rFonts w:ascii="Times New Roman" w:hAnsi="Times New Roman" w:cs="Times New Roman"/>
                <w:sz w:val="18"/>
                <w:szCs w:val="18"/>
              </w:rPr>
            </w:pPr>
            <w:r w:rsidRPr="00BC4182">
              <w:rPr>
                <w:rFonts w:ascii="Times New Roman" w:hAnsi="Times New Roman" w:cs="Times New Roman"/>
                <w:sz w:val="18"/>
                <w:szCs w:val="18"/>
              </w:rPr>
              <w:t>Bls. nr.</w:t>
            </w:r>
          </w:p>
        </w:tc>
        <w:tc>
          <w:tcPr>
            <w:tcW w:w="1134" w:type="dxa"/>
          </w:tcPr>
          <w:p w:rsidR="0056743C" w:rsidRPr="00BC4182" w:rsidRDefault="0056743C"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1. ÞÁTTUR</w:t>
            </w:r>
          </w:p>
        </w:tc>
        <w:tc>
          <w:tcPr>
            <w:tcW w:w="7371" w:type="dxa"/>
            <w:tcBorders>
              <w:right w:val="nil"/>
            </w:tcBorders>
          </w:tcPr>
          <w:p w:rsidR="0056743C" w:rsidRPr="00BC4182" w:rsidRDefault="00DA0C47"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FJÁRFESTINGARMARKMIÐ OG -STEFNA</w:t>
            </w:r>
          </w:p>
        </w:tc>
      </w:tr>
      <w:tr w:rsidR="0056743C" w:rsidRPr="00BC4182" w:rsidTr="0056743C">
        <w:tc>
          <w:tcPr>
            <w:tcW w:w="846" w:type="dxa"/>
            <w:tcBorders>
              <w:left w:val="nil"/>
            </w:tcBorders>
          </w:tcPr>
          <w:p w:rsidR="0056743C" w:rsidRPr="00BC4182" w:rsidRDefault="0056743C" w:rsidP="0056743C">
            <w:pPr>
              <w:pStyle w:val="Meginml"/>
              <w:rPr>
                <w:rFonts w:ascii="Times New Roman" w:hAnsi="Times New Roman" w:cs="Times New Roman"/>
                <w:sz w:val="18"/>
                <w:szCs w:val="18"/>
              </w:rPr>
            </w:pPr>
          </w:p>
        </w:tc>
        <w:tc>
          <w:tcPr>
            <w:tcW w:w="1134" w:type="dxa"/>
          </w:tcPr>
          <w:p w:rsidR="0056743C" w:rsidRPr="00BC4182" w:rsidRDefault="0056743C"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1.1.</w:t>
            </w:r>
          </w:p>
        </w:tc>
        <w:tc>
          <w:tcPr>
            <w:tcW w:w="7371" w:type="dxa"/>
            <w:tcBorders>
              <w:right w:val="nil"/>
            </w:tcBorders>
          </w:tcPr>
          <w:p w:rsidR="00DA0C47" w:rsidRPr="00BC4182" w:rsidRDefault="00DA0C47" w:rsidP="00DA0C47">
            <w:pPr>
              <w:pStyle w:val="Tflutexti"/>
              <w:spacing w:after="0"/>
              <w:ind w:left="324" w:hanging="284"/>
              <w:rPr>
                <w:rFonts w:ascii="Times New Roman" w:hAnsi="Times New Roman" w:cs="Times New Roman"/>
                <w:sz w:val="18"/>
                <w:szCs w:val="18"/>
              </w:rPr>
            </w:pPr>
            <w:r w:rsidRPr="00BC4182">
              <w:rPr>
                <w:rFonts w:ascii="Times New Roman" w:hAnsi="Times New Roman" w:cs="Times New Roman"/>
                <w:sz w:val="18"/>
                <w:szCs w:val="18"/>
              </w:rPr>
              <w:t>a)</w:t>
            </w:r>
            <w:r w:rsidRPr="00BC4182">
              <w:rPr>
                <w:rFonts w:ascii="Times New Roman" w:hAnsi="Times New Roman" w:cs="Times New Roman"/>
                <w:sz w:val="18"/>
                <w:szCs w:val="18"/>
              </w:rPr>
              <w:tab/>
              <w:t>lýsing á fjárfestingarstefnu, stefnu og markmiðum sjóðs um sameiginlega fjárfestingu,</w:t>
            </w:r>
          </w:p>
          <w:p w:rsidR="00DA0C47" w:rsidRPr="00BC4182" w:rsidRDefault="00DA0C47" w:rsidP="00DA0C47">
            <w:pPr>
              <w:pStyle w:val="Tflutexti"/>
              <w:spacing w:before="0" w:after="0"/>
              <w:ind w:left="324" w:hanging="284"/>
              <w:rPr>
                <w:rFonts w:ascii="Times New Roman" w:hAnsi="Times New Roman" w:cs="Times New Roman"/>
                <w:sz w:val="18"/>
                <w:szCs w:val="18"/>
              </w:rPr>
            </w:pPr>
            <w:r w:rsidRPr="00BC4182">
              <w:rPr>
                <w:rFonts w:ascii="Times New Roman" w:hAnsi="Times New Roman" w:cs="Times New Roman"/>
                <w:sz w:val="18"/>
                <w:szCs w:val="18"/>
              </w:rPr>
              <w:t>b)</w:t>
            </w:r>
            <w:r w:rsidRPr="00BC4182">
              <w:rPr>
                <w:rFonts w:ascii="Times New Roman" w:hAnsi="Times New Roman" w:cs="Times New Roman"/>
                <w:sz w:val="18"/>
                <w:szCs w:val="18"/>
              </w:rPr>
              <w:tab/>
              <w:t>upplýsingar um hvar undirliggjandi sjóður um sameiginlega fjárfestingu (einn eða fleiri) er með staðfestu ef sjóðurinn um sameiginlega fjárfestingu samanstendur af sjóðum,</w:t>
            </w:r>
          </w:p>
          <w:p w:rsidR="00DA0C47" w:rsidRPr="00BC4182" w:rsidRDefault="00DA0C47" w:rsidP="00DA0C47">
            <w:pPr>
              <w:pStyle w:val="Tflutexti"/>
              <w:spacing w:before="0" w:after="0"/>
              <w:ind w:left="324" w:hanging="284"/>
              <w:rPr>
                <w:rFonts w:ascii="Times New Roman" w:hAnsi="Times New Roman" w:cs="Times New Roman"/>
                <w:sz w:val="18"/>
                <w:szCs w:val="18"/>
              </w:rPr>
            </w:pPr>
            <w:r w:rsidRPr="00BC4182">
              <w:rPr>
                <w:rFonts w:ascii="Times New Roman" w:hAnsi="Times New Roman" w:cs="Times New Roman"/>
                <w:sz w:val="18"/>
                <w:szCs w:val="18"/>
              </w:rPr>
              <w:t>c)</w:t>
            </w:r>
            <w:r w:rsidRPr="00BC4182">
              <w:rPr>
                <w:rFonts w:ascii="Times New Roman" w:hAnsi="Times New Roman" w:cs="Times New Roman"/>
                <w:sz w:val="18"/>
                <w:szCs w:val="18"/>
              </w:rPr>
              <w:tab/>
              <w:t>lýsing á tegundum eigna sem sjóðnum um sameiginlega fjárfestingu er heimilt að fjárfesta í,</w:t>
            </w:r>
          </w:p>
          <w:p w:rsidR="00DA0C47" w:rsidRPr="00BC4182" w:rsidRDefault="00DA0C47" w:rsidP="00DA0C47">
            <w:pPr>
              <w:pStyle w:val="Tflutexti"/>
              <w:spacing w:before="0" w:after="0"/>
              <w:ind w:left="324" w:hanging="284"/>
              <w:rPr>
                <w:rFonts w:ascii="Times New Roman" w:hAnsi="Times New Roman" w:cs="Times New Roman"/>
                <w:sz w:val="18"/>
                <w:szCs w:val="18"/>
              </w:rPr>
            </w:pPr>
            <w:r w:rsidRPr="00BC4182">
              <w:rPr>
                <w:rFonts w:ascii="Times New Roman" w:hAnsi="Times New Roman" w:cs="Times New Roman"/>
                <w:sz w:val="18"/>
                <w:szCs w:val="18"/>
              </w:rPr>
              <w:t>d)</w:t>
            </w:r>
            <w:r w:rsidRPr="00BC4182">
              <w:rPr>
                <w:rFonts w:ascii="Times New Roman" w:hAnsi="Times New Roman" w:cs="Times New Roman"/>
                <w:sz w:val="18"/>
                <w:szCs w:val="18"/>
              </w:rPr>
              <w:tab/>
              <w:t>hvaða aðferðum hann má beita, öll tengd áhætta og við hvaða aðstæður sjóðnum um sameiginlega fjárfestingu er heimilt að beita vogun,</w:t>
            </w:r>
          </w:p>
          <w:p w:rsidR="00DA0C47" w:rsidRPr="00BC4182" w:rsidRDefault="00DA0C47" w:rsidP="00DA0C47">
            <w:pPr>
              <w:pStyle w:val="Tflutexti"/>
              <w:spacing w:before="0" w:after="0"/>
              <w:ind w:left="324" w:hanging="284"/>
              <w:rPr>
                <w:rFonts w:ascii="Times New Roman" w:hAnsi="Times New Roman" w:cs="Times New Roman"/>
                <w:sz w:val="18"/>
                <w:szCs w:val="18"/>
              </w:rPr>
            </w:pPr>
            <w:r w:rsidRPr="00BC4182">
              <w:rPr>
                <w:rFonts w:ascii="Times New Roman" w:hAnsi="Times New Roman" w:cs="Times New Roman"/>
                <w:sz w:val="18"/>
                <w:szCs w:val="18"/>
              </w:rPr>
              <w:t>e)</w:t>
            </w:r>
            <w:r w:rsidRPr="00BC4182">
              <w:rPr>
                <w:rFonts w:ascii="Times New Roman" w:hAnsi="Times New Roman" w:cs="Times New Roman"/>
                <w:sz w:val="18"/>
                <w:szCs w:val="18"/>
              </w:rPr>
              <w:tab/>
              <w:t>leyfðar tegundir og grunnur vogunar og tengd áhætta,</w:t>
            </w:r>
          </w:p>
          <w:p w:rsidR="00DA0C47" w:rsidRPr="00BC4182" w:rsidRDefault="00DA0C47" w:rsidP="00DA0C47">
            <w:pPr>
              <w:pStyle w:val="Tflutexti"/>
              <w:spacing w:before="0" w:after="0"/>
              <w:ind w:left="324" w:hanging="284"/>
              <w:rPr>
                <w:rFonts w:ascii="Times New Roman" w:hAnsi="Times New Roman" w:cs="Times New Roman"/>
                <w:sz w:val="18"/>
                <w:szCs w:val="18"/>
              </w:rPr>
            </w:pPr>
            <w:r w:rsidRPr="00BC4182">
              <w:rPr>
                <w:rFonts w:ascii="Times New Roman" w:hAnsi="Times New Roman" w:cs="Times New Roman"/>
                <w:sz w:val="18"/>
                <w:szCs w:val="18"/>
              </w:rPr>
              <w:t>f)</w:t>
            </w:r>
            <w:r w:rsidRPr="00BC4182">
              <w:rPr>
                <w:rFonts w:ascii="Times New Roman" w:hAnsi="Times New Roman" w:cs="Times New Roman"/>
                <w:sz w:val="18"/>
                <w:szCs w:val="18"/>
              </w:rPr>
              <w:tab/>
              <w:t>allar takmarkanir á beitingu vogunar og allar tryggingar og fyrirkomulag endurnotkunar eigna,</w:t>
            </w:r>
          </w:p>
          <w:p w:rsidR="0056743C" w:rsidRPr="00BC4182" w:rsidRDefault="00DA0C47" w:rsidP="00DA0C47">
            <w:pPr>
              <w:pStyle w:val="Tflutexti"/>
              <w:spacing w:before="0"/>
              <w:ind w:left="324" w:hanging="284"/>
              <w:rPr>
                <w:rFonts w:ascii="Times New Roman" w:hAnsi="Times New Roman" w:cs="Times New Roman"/>
                <w:sz w:val="18"/>
                <w:szCs w:val="18"/>
              </w:rPr>
            </w:pPr>
            <w:r w:rsidRPr="00BC4182">
              <w:rPr>
                <w:rFonts w:ascii="Times New Roman" w:hAnsi="Times New Roman" w:cs="Times New Roman"/>
                <w:sz w:val="18"/>
                <w:szCs w:val="18"/>
              </w:rPr>
              <w:t>g)</w:t>
            </w:r>
            <w:r w:rsidRPr="00BC4182">
              <w:rPr>
                <w:rFonts w:ascii="Times New Roman" w:hAnsi="Times New Roman" w:cs="Times New Roman"/>
                <w:sz w:val="18"/>
                <w:szCs w:val="18"/>
              </w:rPr>
              <w:tab/>
              <w:t>hámark vogunar sem beita má fyrir hönd sjóðsins um sameiginlega fjárfestingu.</w:t>
            </w:r>
          </w:p>
        </w:tc>
      </w:tr>
      <w:tr w:rsidR="0056743C" w:rsidRPr="00BC4182" w:rsidTr="0056743C">
        <w:tc>
          <w:tcPr>
            <w:tcW w:w="846" w:type="dxa"/>
            <w:tcBorders>
              <w:left w:val="nil"/>
            </w:tcBorders>
          </w:tcPr>
          <w:p w:rsidR="0056743C" w:rsidRPr="00BC4182" w:rsidRDefault="0056743C" w:rsidP="0056743C">
            <w:pPr>
              <w:pStyle w:val="Meginml"/>
              <w:rPr>
                <w:rFonts w:ascii="Times New Roman" w:hAnsi="Times New Roman" w:cs="Times New Roman"/>
                <w:sz w:val="18"/>
                <w:szCs w:val="18"/>
              </w:rPr>
            </w:pPr>
          </w:p>
        </w:tc>
        <w:tc>
          <w:tcPr>
            <w:tcW w:w="1134" w:type="dxa"/>
          </w:tcPr>
          <w:p w:rsidR="0056743C" w:rsidRPr="00BC4182" w:rsidRDefault="0056743C"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1.2.</w:t>
            </w:r>
          </w:p>
        </w:tc>
        <w:tc>
          <w:tcPr>
            <w:tcW w:w="7371" w:type="dxa"/>
            <w:tcBorders>
              <w:right w:val="nil"/>
            </w:tcBorders>
          </w:tcPr>
          <w:p w:rsidR="0056743C" w:rsidRPr="00BC4182" w:rsidRDefault="00DA0C47" w:rsidP="00DA0C47">
            <w:pPr>
              <w:pStyle w:val="Tflutexti"/>
              <w:rPr>
                <w:rFonts w:ascii="Times New Roman" w:hAnsi="Times New Roman" w:cs="Times New Roman"/>
                <w:sz w:val="18"/>
                <w:szCs w:val="18"/>
              </w:rPr>
            </w:pPr>
            <w:r w:rsidRPr="00BC4182">
              <w:rPr>
                <w:rFonts w:ascii="Times New Roman" w:hAnsi="Times New Roman" w:cs="Times New Roman"/>
                <w:sz w:val="18"/>
                <w:szCs w:val="18"/>
              </w:rPr>
              <w:t>Lýsing á því hvernig sjóður um sameiginlega fjárfestingu getur breytt fjárfestingaráætlun sinni eða fjárfestingarstefnu, eða hvoru tveggja.</w:t>
            </w:r>
          </w:p>
        </w:tc>
      </w:tr>
      <w:tr w:rsidR="00C93CDF" w:rsidRPr="00BC4182" w:rsidTr="0056743C">
        <w:tc>
          <w:tcPr>
            <w:tcW w:w="846" w:type="dxa"/>
            <w:tcBorders>
              <w:left w:val="nil"/>
            </w:tcBorders>
          </w:tcPr>
          <w:p w:rsidR="00C93CDF" w:rsidRPr="00BC4182" w:rsidRDefault="00C93CDF" w:rsidP="0056743C">
            <w:pPr>
              <w:pStyle w:val="Meginml"/>
              <w:rPr>
                <w:rFonts w:ascii="Times New Roman" w:hAnsi="Times New Roman" w:cs="Times New Roman"/>
                <w:sz w:val="18"/>
                <w:szCs w:val="18"/>
              </w:rPr>
            </w:pPr>
          </w:p>
        </w:tc>
        <w:tc>
          <w:tcPr>
            <w:tcW w:w="1134" w:type="dxa"/>
          </w:tcPr>
          <w:p w:rsidR="00C93CDF" w:rsidRPr="00BC4182" w:rsidRDefault="00C93CDF"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1.3.</w:t>
            </w:r>
          </w:p>
        </w:tc>
        <w:tc>
          <w:tcPr>
            <w:tcW w:w="7371" w:type="dxa"/>
            <w:tcBorders>
              <w:right w:val="nil"/>
            </w:tcBorders>
          </w:tcPr>
          <w:p w:rsidR="00C93CDF" w:rsidRPr="00BC4182" w:rsidRDefault="00C93CDF" w:rsidP="00DA0C47">
            <w:pPr>
              <w:pStyle w:val="Tflutexti"/>
              <w:rPr>
                <w:rFonts w:ascii="Times New Roman" w:hAnsi="Times New Roman" w:cs="Times New Roman"/>
                <w:sz w:val="18"/>
                <w:szCs w:val="18"/>
              </w:rPr>
            </w:pPr>
            <w:r w:rsidRPr="00BC4182">
              <w:rPr>
                <w:rFonts w:ascii="Times New Roman" w:hAnsi="Times New Roman" w:cs="Times New Roman"/>
                <w:sz w:val="18"/>
                <w:szCs w:val="18"/>
              </w:rPr>
              <w:t>Takmarkanir á vogun sjóðs um sameiginlega fjárfestingu. Sé ekki um að ræða neinar slíkar takmarkanir skal geta þess.</w:t>
            </w:r>
          </w:p>
        </w:tc>
      </w:tr>
      <w:tr w:rsidR="00C93CDF" w:rsidRPr="00BC4182" w:rsidTr="0056743C">
        <w:tc>
          <w:tcPr>
            <w:tcW w:w="846" w:type="dxa"/>
            <w:tcBorders>
              <w:left w:val="nil"/>
            </w:tcBorders>
          </w:tcPr>
          <w:p w:rsidR="00C93CDF" w:rsidRPr="00BC4182" w:rsidRDefault="00C93CDF" w:rsidP="0056743C">
            <w:pPr>
              <w:pStyle w:val="Meginml"/>
              <w:rPr>
                <w:rFonts w:ascii="Times New Roman" w:hAnsi="Times New Roman" w:cs="Times New Roman"/>
                <w:sz w:val="18"/>
                <w:szCs w:val="18"/>
              </w:rPr>
            </w:pPr>
          </w:p>
        </w:tc>
        <w:tc>
          <w:tcPr>
            <w:tcW w:w="1134" w:type="dxa"/>
          </w:tcPr>
          <w:p w:rsidR="00C93CDF" w:rsidRPr="00BC4182" w:rsidRDefault="00C93CDF"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1.4.</w:t>
            </w:r>
          </w:p>
        </w:tc>
        <w:tc>
          <w:tcPr>
            <w:tcW w:w="7371" w:type="dxa"/>
            <w:tcBorders>
              <w:right w:val="nil"/>
            </w:tcBorders>
          </w:tcPr>
          <w:p w:rsidR="00C93CDF" w:rsidRPr="00BC4182" w:rsidRDefault="00C93CDF" w:rsidP="00DA0C47">
            <w:pPr>
              <w:pStyle w:val="Tflutexti"/>
              <w:rPr>
                <w:rFonts w:ascii="Times New Roman" w:hAnsi="Times New Roman" w:cs="Times New Roman"/>
                <w:sz w:val="18"/>
                <w:szCs w:val="18"/>
              </w:rPr>
            </w:pPr>
            <w:r w:rsidRPr="00BC4182">
              <w:rPr>
                <w:rFonts w:ascii="Times New Roman" w:hAnsi="Times New Roman" w:cs="Times New Roman"/>
                <w:sz w:val="18"/>
                <w:szCs w:val="18"/>
              </w:rPr>
              <w:t>Lagaleg staða sjóðs um sameiginlega fjárfestingu, ásamt heiti eftirlitsyfirvalda í skráningarlandi hans.</w:t>
            </w:r>
          </w:p>
        </w:tc>
      </w:tr>
      <w:tr w:rsidR="00C93CDF" w:rsidRPr="00BC4182" w:rsidTr="0056743C">
        <w:tc>
          <w:tcPr>
            <w:tcW w:w="846" w:type="dxa"/>
            <w:tcBorders>
              <w:left w:val="nil"/>
            </w:tcBorders>
          </w:tcPr>
          <w:p w:rsidR="00C93CDF" w:rsidRPr="00BC4182" w:rsidRDefault="00C93CDF" w:rsidP="0056743C">
            <w:pPr>
              <w:pStyle w:val="Meginml"/>
              <w:rPr>
                <w:rFonts w:ascii="Times New Roman" w:hAnsi="Times New Roman" w:cs="Times New Roman"/>
                <w:sz w:val="18"/>
                <w:szCs w:val="18"/>
              </w:rPr>
            </w:pPr>
          </w:p>
        </w:tc>
        <w:tc>
          <w:tcPr>
            <w:tcW w:w="1134" w:type="dxa"/>
          </w:tcPr>
          <w:p w:rsidR="00C93CDF" w:rsidRPr="00BC4182" w:rsidRDefault="00C93CDF"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1.5.</w:t>
            </w:r>
          </w:p>
        </w:tc>
        <w:tc>
          <w:tcPr>
            <w:tcW w:w="7371" w:type="dxa"/>
            <w:tcBorders>
              <w:right w:val="nil"/>
            </w:tcBorders>
          </w:tcPr>
          <w:p w:rsidR="00C93CDF" w:rsidRPr="00BC4182" w:rsidRDefault="00C93CDF" w:rsidP="00DA0C47">
            <w:pPr>
              <w:pStyle w:val="Tflutexti"/>
              <w:rPr>
                <w:rFonts w:ascii="Times New Roman" w:hAnsi="Times New Roman" w:cs="Times New Roman"/>
                <w:sz w:val="18"/>
                <w:szCs w:val="18"/>
              </w:rPr>
            </w:pPr>
            <w:r w:rsidRPr="00BC4182">
              <w:rPr>
                <w:rFonts w:ascii="Times New Roman" w:hAnsi="Times New Roman" w:cs="Times New Roman"/>
                <w:sz w:val="18"/>
                <w:szCs w:val="18"/>
              </w:rPr>
              <w:t>Lýsing á dæmigerðum fjárfesti sem viðkomandi sjóður um sameiginlega fjárfestingu er ætlaður fyrir.</w:t>
            </w:r>
          </w:p>
        </w:tc>
      </w:tr>
      <w:tr w:rsidR="00C93CDF" w:rsidRPr="00BC4182" w:rsidTr="0056743C">
        <w:tc>
          <w:tcPr>
            <w:tcW w:w="846" w:type="dxa"/>
            <w:tcBorders>
              <w:left w:val="nil"/>
            </w:tcBorders>
          </w:tcPr>
          <w:p w:rsidR="00C93CDF" w:rsidRPr="00BC4182" w:rsidRDefault="00CA75FB" w:rsidP="0056743C">
            <w:pPr>
              <w:pStyle w:val="Meginml"/>
              <w:rPr>
                <w:rFonts w:ascii="Times New Roman" w:hAnsi="Times New Roman" w:cs="Times New Roman"/>
                <w:sz w:val="18"/>
                <w:szCs w:val="18"/>
              </w:rPr>
            </w:pPr>
            <w:r w:rsidRPr="00BC4182">
              <w:rPr>
                <w:rFonts w:ascii="Times New Roman" w:hAnsi="Times New Roman" w:cs="Times New Roman"/>
                <w:sz w:val="18"/>
                <w:szCs w:val="18"/>
              </w:rPr>
              <w:br w:type="page"/>
            </w:r>
          </w:p>
        </w:tc>
        <w:tc>
          <w:tcPr>
            <w:tcW w:w="1134" w:type="dxa"/>
          </w:tcPr>
          <w:p w:rsidR="00C93CDF" w:rsidRPr="00BC4182" w:rsidRDefault="00C93CDF"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1.6.</w:t>
            </w:r>
          </w:p>
        </w:tc>
        <w:tc>
          <w:tcPr>
            <w:tcW w:w="7371" w:type="dxa"/>
            <w:tcBorders>
              <w:right w:val="nil"/>
            </w:tcBorders>
          </w:tcPr>
          <w:p w:rsidR="00C93CDF" w:rsidRPr="00BC4182" w:rsidRDefault="00C93CDF" w:rsidP="00C93CDF">
            <w:pPr>
              <w:pStyle w:val="Tflutexti"/>
              <w:rPr>
                <w:rFonts w:ascii="Times New Roman" w:hAnsi="Times New Roman" w:cs="Times New Roman"/>
                <w:sz w:val="18"/>
                <w:szCs w:val="18"/>
              </w:rPr>
            </w:pPr>
            <w:r w:rsidRPr="00BC4182">
              <w:rPr>
                <w:rFonts w:ascii="Times New Roman" w:hAnsi="Times New Roman" w:cs="Times New Roman"/>
                <w:sz w:val="18"/>
                <w:szCs w:val="18"/>
              </w:rPr>
              <w:t>Yfirlýsing sem staðfestir eftirfarandi:</w:t>
            </w:r>
          </w:p>
          <w:p w:rsidR="00C93CDF" w:rsidRPr="00BC4182" w:rsidRDefault="00C93CDF" w:rsidP="00C93CDF">
            <w:pPr>
              <w:pStyle w:val="Tflutexti"/>
              <w:spacing w:after="0"/>
              <w:ind w:left="323" w:hanging="323"/>
              <w:rPr>
                <w:rFonts w:ascii="Times New Roman" w:hAnsi="Times New Roman" w:cs="Times New Roman"/>
                <w:sz w:val="18"/>
                <w:szCs w:val="18"/>
              </w:rPr>
            </w:pPr>
            <w:r w:rsidRPr="00BC4182">
              <w:rPr>
                <w:rFonts w:ascii="Times New Roman" w:hAnsi="Times New Roman" w:cs="Times New Roman"/>
                <w:sz w:val="18"/>
                <w:szCs w:val="18"/>
              </w:rPr>
              <w:t>a)</w:t>
            </w:r>
            <w:r w:rsidRPr="00BC4182">
              <w:rPr>
                <w:rFonts w:ascii="Times New Roman" w:hAnsi="Times New Roman" w:cs="Times New Roman"/>
                <w:sz w:val="18"/>
                <w:szCs w:val="18"/>
              </w:rPr>
              <w:tab/>
              <w:t>[útgefandalýsingin/lýsingin] hafi verið staðfest af [heiti lögbærs yfirvalds] sem lögbæru yfirvaldi samkvæmt reglugerð (ESB) 2017/1129,</w:t>
            </w:r>
          </w:p>
          <w:p w:rsidR="00C93CDF" w:rsidRPr="00BC4182" w:rsidRDefault="00C93CDF" w:rsidP="00C93CDF">
            <w:pPr>
              <w:pStyle w:val="Tflutexti"/>
              <w:spacing w:before="0" w:after="0"/>
              <w:ind w:left="323" w:hanging="323"/>
              <w:rPr>
                <w:rFonts w:ascii="Times New Roman" w:hAnsi="Times New Roman" w:cs="Times New Roman"/>
                <w:sz w:val="18"/>
                <w:szCs w:val="18"/>
              </w:rPr>
            </w:pPr>
            <w:r w:rsidRPr="00BC4182">
              <w:rPr>
                <w:rFonts w:ascii="Times New Roman" w:hAnsi="Times New Roman" w:cs="Times New Roman"/>
                <w:sz w:val="18"/>
                <w:szCs w:val="18"/>
              </w:rPr>
              <w:t>b)</w:t>
            </w:r>
            <w:r w:rsidRPr="00BC4182">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reglugerð (ESB) 2017/1129,</w:t>
            </w:r>
          </w:p>
          <w:p w:rsidR="00C93CDF" w:rsidRPr="00BC4182" w:rsidRDefault="00C93CDF" w:rsidP="00C93CDF">
            <w:pPr>
              <w:pStyle w:val="Tflutexti"/>
              <w:spacing w:before="0"/>
              <w:ind w:left="323" w:hanging="323"/>
              <w:rPr>
                <w:rFonts w:ascii="Times New Roman" w:hAnsi="Times New Roman" w:cs="Times New Roman"/>
                <w:sz w:val="18"/>
                <w:szCs w:val="18"/>
              </w:rPr>
            </w:pPr>
            <w:r w:rsidRPr="00BC4182">
              <w:rPr>
                <w:rFonts w:ascii="Times New Roman" w:hAnsi="Times New Roman" w:cs="Times New Roman"/>
                <w:sz w:val="18"/>
                <w:szCs w:val="18"/>
              </w:rPr>
              <w:t>c)</w:t>
            </w:r>
            <w:r w:rsidRPr="00BC4182">
              <w:rPr>
                <w:rFonts w:ascii="Times New Roman" w:hAnsi="Times New Roman" w:cs="Times New Roman"/>
                <w:sz w:val="18"/>
                <w:szCs w:val="18"/>
              </w:rPr>
              <w:tab/>
              <w:t>ekki beri að líta á slíka staðfestingu sem stuðning við útgefandann sem viðkomandi [útgefandalýsing/lýsing] varðar.</w:t>
            </w:r>
          </w:p>
        </w:tc>
      </w:tr>
      <w:tr w:rsidR="00C93CDF" w:rsidRPr="00BC4182" w:rsidTr="0056743C">
        <w:tc>
          <w:tcPr>
            <w:tcW w:w="846" w:type="dxa"/>
            <w:tcBorders>
              <w:left w:val="nil"/>
            </w:tcBorders>
          </w:tcPr>
          <w:p w:rsidR="00C93CDF" w:rsidRPr="00BC4182" w:rsidRDefault="00C93CDF" w:rsidP="0056743C">
            <w:pPr>
              <w:pStyle w:val="Meginml"/>
              <w:rPr>
                <w:rFonts w:ascii="Times New Roman" w:hAnsi="Times New Roman" w:cs="Times New Roman"/>
                <w:sz w:val="18"/>
                <w:szCs w:val="18"/>
              </w:rPr>
            </w:pPr>
          </w:p>
        </w:tc>
        <w:tc>
          <w:tcPr>
            <w:tcW w:w="1134" w:type="dxa"/>
          </w:tcPr>
          <w:p w:rsidR="00C93CDF" w:rsidRPr="00BC4182" w:rsidRDefault="00052601"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2. ÞÁTTUR</w:t>
            </w:r>
          </w:p>
        </w:tc>
        <w:tc>
          <w:tcPr>
            <w:tcW w:w="7371" w:type="dxa"/>
            <w:tcBorders>
              <w:right w:val="nil"/>
            </w:tcBorders>
          </w:tcPr>
          <w:p w:rsidR="00C93CDF" w:rsidRPr="00BC4182" w:rsidRDefault="00052601" w:rsidP="00DA0C47">
            <w:pPr>
              <w:pStyle w:val="Tflutexti"/>
              <w:rPr>
                <w:rFonts w:ascii="Times New Roman" w:hAnsi="Times New Roman" w:cs="Times New Roman"/>
                <w:sz w:val="18"/>
                <w:szCs w:val="18"/>
              </w:rPr>
            </w:pPr>
            <w:r w:rsidRPr="00BC4182">
              <w:rPr>
                <w:rFonts w:ascii="Times New Roman" w:hAnsi="Times New Roman" w:cs="Times New Roman"/>
                <w:sz w:val="18"/>
                <w:szCs w:val="18"/>
              </w:rPr>
              <w:t>TAKMARKANIR Á FJÁRFESTINGUM</w:t>
            </w:r>
          </w:p>
        </w:tc>
      </w:tr>
      <w:tr w:rsidR="00C93CDF" w:rsidRPr="00BC4182" w:rsidTr="0056743C">
        <w:tc>
          <w:tcPr>
            <w:tcW w:w="846" w:type="dxa"/>
            <w:tcBorders>
              <w:left w:val="nil"/>
            </w:tcBorders>
          </w:tcPr>
          <w:p w:rsidR="00C93CDF" w:rsidRPr="00BC4182" w:rsidRDefault="00C93CDF" w:rsidP="0056743C">
            <w:pPr>
              <w:pStyle w:val="Meginml"/>
              <w:rPr>
                <w:rFonts w:ascii="Times New Roman" w:hAnsi="Times New Roman" w:cs="Times New Roman"/>
                <w:sz w:val="18"/>
                <w:szCs w:val="18"/>
              </w:rPr>
            </w:pPr>
          </w:p>
        </w:tc>
        <w:tc>
          <w:tcPr>
            <w:tcW w:w="1134" w:type="dxa"/>
          </w:tcPr>
          <w:p w:rsidR="00C93CDF" w:rsidRPr="00BC4182" w:rsidRDefault="00052601" w:rsidP="0056743C">
            <w:pPr>
              <w:pStyle w:val="Tflutexti"/>
              <w:rPr>
                <w:rFonts w:ascii="Times New Roman" w:hAnsi="Times New Roman" w:cs="Times New Roman"/>
                <w:sz w:val="18"/>
                <w:szCs w:val="18"/>
              </w:rPr>
            </w:pPr>
            <w:r w:rsidRPr="00BC4182">
              <w:rPr>
                <w:rFonts w:ascii="Times New Roman" w:hAnsi="Times New Roman" w:cs="Times New Roman"/>
                <w:sz w:val="18"/>
                <w:szCs w:val="18"/>
              </w:rPr>
              <w:t>Liður 2.1.</w:t>
            </w:r>
          </w:p>
        </w:tc>
        <w:tc>
          <w:tcPr>
            <w:tcW w:w="7371" w:type="dxa"/>
            <w:tcBorders>
              <w:right w:val="nil"/>
            </w:tcBorders>
          </w:tcPr>
          <w:p w:rsidR="00C93CDF" w:rsidRPr="00BC4182" w:rsidRDefault="00052601" w:rsidP="00DA0C47">
            <w:pPr>
              <w:pStyle w:val="Tflutexti"/>
              <w:rPr>
                <w:rFonts w:ascii="Times New Roman" w:hAnsi="Times New Roman" w:cs="Times New Roman"/>
                <w:sz w:val="18"/>
                <w:szCs w:val="18"/>
              </w:rPr>
            </w:pPr>
            <w:r w:rsidRPr="00BC4182">
              <w:rPr>
                <w:rFonts w:ascii="Times New Roman" w:hAnsi="Times New Roman" w:cs="Times New Roman"/>
                <w:sz w:val="18"/>
                <w:szCs w:val="18"/>
              </w:rPr>
              <w:t>Yfirlýsing um þær fjárfestingatakmarkanir sem gilda um sjóðinn um sameiginlega fjárfestingu, ef einhverjar eru, og tilgreining á því með hvaða hætti verðbréfaeigendur verða upplýstir um þær aðgerðir sem fjárfestingastjórinn grípur til ef brot á sér stað.</w:t>
            </w:r>
          </w:p>
        </w:tc>
      </w:tr>
      <w:tr w:rsidR="00052601" w:rsidRPr="00BC4182" w:rsidTr="0056743C">
        <w:tc>
          <w:tcPr>
            <w:tcW w:w="846" w:type="dxa"/>
            <w:tcBorders>
              <w:left w:val="nil"/>
            </w:tcBorders>
          </w:tcPr>
          <w:p w:rsidR="00052601" w:rsidRPr="00BC4182" w:rsidRDefault="00052601" w:rsidP="00052601">
            <w:pPr>
              <w:pStyle w:val="Meginml"/>
              <w:rPr>
                <w:rFonts w:ascii="Times New Roman" w:hAnsi="Times New Roman" w:cs="Times New Roman"/>
                <w:sz w:val="18"/>
                <w:szCs w:val="18"/>
              </w:rPr>
            </w:pPr>
          </w:p>
        </w:tc>
        <w:tc>
          <w:tcPr>
            <w:tcW w:w="1134" w:type="dxa"/>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Liður 2.2.</w:t>
            </w:r>
          </w:p>
        </w:tc>
        <w:tc>
          <w:tcPr>
            <w:tcW w:w="7371" w:type="dxa"/>
            <w:tcBorders>
              <w:right w:val="nil"/>
            </w:tcBorders>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Veita ber tilteknar upplýsingar ef heimilt er að meira en 20% af brúttóeignum sjóðs um sameiginlega fjárfestingu (nema útgefandalýsingin sé gerð fyrir aðila vegna beitingar liða 2.3 eða 2.5) sé:</w:t>
            </w:r>
          </w:p>
          <w:p w:rsidR="00052601" w:rsidRPr="00BC4182" w:rsidRDefault="00052601" w:rsidP="00052601">
            <w:pPr>
              <w:pStyle w:val="Tflutexti"/>
              <w:spacing w:after="0"/>
              <w:ind w:left="324" w:hanging="284"/>
              <w:rPr>
                <w:rFonts w:ascii="Times New Roman" w:hAnsi="Times New Roman" w:cs="Times New Roman"/>
                <w:sz w:val="18"/>
                <w:szCs w:val="18"/>
              </w:rPr>
            </w:pPr>
            <w:r w:rsidRPr="00BC4182">
              <w:rPr>
                <w:rFonts w:ascii="Times New Roman" w:hAnsi="Times New Roman" w:cs="Times New Roman"/>
                <w:sz w:val="18"/>
                <w:szCs w:val="18"/>
              </w:rPr>
              <w:t>a)</w:t>
            </w:r>
            <w:r w:rsidRPr="00BC4182">
              <w:rPr>
                <w:rFonts w:ascii="Times New Roman" w:hAnsi="Times New Roman" w:cs="Times New Roman"/>
                <w:sz w:val="18"/>
                <w:szCs w:val="18"/>
              </w:rPr>
              <w:tab/>
              <w:t>fjárfest, beint eða óbeint, eða lánuð stökum undirliggjandi útgefanda (þ.m.t. dótturfélögum eða hlutdeildarfélögum undirliggjandi útgefanda),</w:t>
            </w:r>
          </w:p>
          <w:p w:rsidR="00052601" w:rsidRPr="00BC4182" w:rsidRDefault="00052601" w:rsidP="00052601">
            <w:pPr>
              <w:pStyle w:val="Tflutexti"/>
              <w:spacing w:before="0" w:after="0"/>
              <w:ind w:left="324" w:hanging="284"/>
              <w:rPr>
                <w:rFonts w:ascii="Times New Roman" w:hAnsi="Times New Roman" w:cs="Times New Roman"/>
                <w:sz w:val="18"/>
                <w:szCs w:val="18"/>
              </w:rPr>
            </w:pPr>
            <w:r w:rsidRPr="00BC4182">
              <w:rPr>
                <w:rFonts w:ascii="Times New Roman" w:hAnsi="Times New Roman" w:cs="Times New Roman"/>
                <w:sz w:val="18"/>
                <w:szCs w:val="18"/>
              </w:rPr>
              <w:t>b)</w:t>
            </w:r>
            <w:r w:rsidRPr="00BC4182">
              <w:rPr>
                <w:rFonts w:ascii="Times New Roman" w:hAnsi="Times New Roman" w:cs="Times New Roman"/>
                <w:sz w:val="18"/>
                <w:szCs w:val="18"/>
              </w:rPr>
              <w:tab/>
              <w:t>fjárfest í einum eða fleiri sjóðum um sameiginlega fjárfestingu sem heimilt er að fjárfesta meira en 20% brúttóeigna sinna í öðrum sjóði um sameiginlega fjárfestingu (opnum og/eða lokuðum),</w:t>
            </w:r>
          </w:p>
          <w:p w:rsidR="00052601" w:rsidRPr="00BC4182" w:rsidRDefault="00052601" w:rsidP="00052601">
            <w:pPr>
              <w:pStyle w:val="Tflutexti"/>
              <w:spacing w:before="0"/>
              <w:ind w:left="324" w:hanging="284"/>
              <w:rPr>
                <w:rFonts w:ascii="Times New Roman" w:hAnsi="Times New Roman" w:cs="Times New Roman"/>
                <w:sz w:val="18"/>
                <w:szCs w:val="18"/>
              </w:rPr>
            </w:pPr>
            <w:r w:rsidRPr="00BC4182">
              <w:rPr>
                <w:rFonts w:ascii="Times New Roman" w:hAnsi="Times New Roman" w:cs="Times New Roman"/>
                <w:sz w:val="18"/>
                <w:szCs w:val="18"/>
              </w:rPr>
              <w:t>c)</w:t>
            </w:r>
            <w:r w:rsidRPr="00BC4182">
              <w:rPr>
                <w:rFonts w:ascii="Times New Roman" w:hAnsi="Times New Roman" w:cs="Times New Roman"/>
                <w:sz w:val="18"/>
                <w:szCs w:val="18"/>
              </w:rPr>
              <w:tab/>
              <w:t>útsett fyrir lánshæfi eða gjaldþoli eins mótaðila (þ.m.t. dótturfélaga eða hlutdeildarfélaga).</w:t>
            </w:r>
          </w:p>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Upplýsingarnar sem um getur í fyrsta málslið skulu hafa að geyma eftirfarandi í eftirfarandi tilvikum:</w:t>
            </w:r>
          </w:p>
          <w:p w:rsidR="00052601" w:rsidRPr="00BC4182" w:rsidRDefault="00052601" w:rsidP="00052601">
            <w:pPr>
              <w:pStyle w:val="Tflutexti"/>
              <w:ind w:left="324" w:hanging="324"/>
              <w:rPr>
                <w:rFonts w:ascii="Times New Roman" w:hAnsi="Times New Roman" w:cs="Times New Roman"/>
                <w:sz w:val="18"/>
                <w:szCs w:val="18"/>
              </w:rPr>
            </w:pPr>
            <w:r w:rsidRPr="00BC4182">
              <w:rPr>
                <w:rFonts w:ascii="Times New Roman" w:hAnsi="Times New Roman" w:cs="Times New Roman"/>
                <w:sz w:val="18"/>
                <w:szCs w:val="18"/>
              </w:rPr>
              <w:t>i.</w:t>
            </w:r>
            <w:r w:rsidRPr="00BC4182">
              <w:rPr>
                <w:rFonts w:ascii="Times New Roman" w:hAnsi="Times New Roman" w:cs="Times New Roman"/>
                <w:sz w:val="18"/>
                <w:szCs w:val="18"/>
              </w:rPr>
              <w:tab/>
              <w:t>hafi undirliggjandi verðbréf ekki verið tekin til viðskipta á skipulegum markaði eða jafngildum markaði þriðja lands eða vaxtarmarkaði lítilla og meðalstórra fyrirtækja, upplýsingar um hvern undirliggjandi útgefanda/sjóð um sameiginlega fjárfestingu/mótaðila eins og hann væri útgefandi að því er varðar lágmarkskröfur um upplýsingagjöf í útgefandalýsingu vegna hlutabréfatengdra verðbréfa (í tilfellum sem falla undir a-lið) eða lágmarkskröfur um upplýsingagjöf í útgefandalýsingu vegna hlutdeildarskírteina sem gefin eru út af lokuðum sjóðum um sameiginlega fjárfestingu (í tilfellum sem falla undir b-lið) eða lágmarkskröfur um upplýsingagjöf í útgefandalýsingu vegna verðbréfa í heildsölu sem ekki eru hlutabréfatengd (í tilfellum sem falla undir c-lið),</w:t>
            </w:r>
          </w:p>
          <w:p w:rsidR="00052601" w:rsidRPr="00BC4182" w:rsidRDefault="00052601" w:rsidP="00052601">
            <w:pPr>
              <w:pStyle w:val="Tflutexti"/>
              <w:ind w:left="324" w:hanging="324"/>
              <w:rPr>
                <w:rFonts w:ascii="Times New Roman" w:hAnsi="Times New Roman" w:cs="Times New Roman"/>
                <w:sz w:val="18"/>
                <w:szCs w:val="18"/>
              </w:rPr>
            </w:pPr>
            <w:proofErr w:type="spellStart"/>
            <w:r w:rsidRPr="00BC4182">
              <w:rPr>
                <w:rFonts w:ascii="Times New Roman" w:hAnsi="Times New Roman" w:cs="Times New Roman"/>
                <w:sz w:val="18"/>
                <w:szCs w:val="18"/>
              </w:rPr>
              <w:t>ii</w:t>
            </w:r>
            <w:proofErr w:type="spellEnd"/>
            <w:r w:rsidRPr="00BC4182">
              <w:rPr>
                <w:rFonts w:ascii="Times New Roman" w:hAnsi="Times New Roman" w:cs="Times New Roman"/>
                <w:sz w:val="18"/>
                <w:szCs w:val="18"/>
              </w:rPr>
              <w:t>.</w:t>
            </w:r>
            <w:r w:rsidRPr="00BC4182">
              <w:rPr>
                <w:rFonts w:ascii="Times New Roman" w:hAnsi="Times New Roman" w:cs="Times New Roman"/>
                <w:sz w:val="18"/>
                <w:szCs w:val="18"/>
              </w:rPr>
              <w:tab/>
              <w:t>hafi verðbréf, sem gefin eru út af undirliggjandi útgefanda/sjóði um sameiginlega fjárfestingu/mótaðila, þegar verið tekin til viðskipta á skipulegum markaði, eða jafngildum markaði þriðja lands, eða vaxtarmarkaði lítilla og meðalstórra fyrirtækja, eða séu skuldbindingarnar tryggðar af aðila sem tekinn hefur verið til viðskipta á skipulegum markaði eða jafngildum markaði eða vaxtarmarkaði lítilla og meðalstórra fyrirtækja, skal veita upplýsingar um nafn, heimilisfang, skráningarland, eðli starfsemi og heiti markaðar þar sem verðbréfin hafa verið tekin til viðskipta.</w:t>
            </w:r>
          </w:p>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 xml:space="preserve">Upplýsingakrafan sem um getur í i. og </w:t>
            </w:r>
            <w:proofErr w:type="spellStart"/>
            <w:r w:rsidRPr="00BC4182">
              <w:rPr>
                <w:rFonts w:ascii="Times New Roman" w:hAnsi="Times New Roman" w:cs="Times New Roman"/>
                <w:sz w:val="18"/>
                <w:szCs w:val="18"/>
              </w:rPr>
              <w:t>ii</w:t>
            </w:r>
            <w:proofErr w:type="spellEnd"/>
            <w:r w:rsidRPr="00BC4182">
              <w:rPr>
                <w:rFonts w:ascii="Times New Roman" w:hAnsi="Times New Roman" w:cs="Times New Roman"/>
                <w:sz w:val="18"/>
                <w:szCs w:val="18"/>
              </w:rPr>
              <w:t>. lið á ekki við ef farið er yfir 20% mörkin vegna virðishækkunar eða lækkunar, breytinga á gengi gjaldmiðla eða viðtöku réttinda, kaupauka, hlunninda í formi hlutafjár eða hvers kyns annarra ráðstafana sem hafa áhrif á alla eigendur viðkomandi fjárfestingar, að því tilskildu að fjárfestingastjórinn taki tillit til viðmiðunarmarka þegar hann íhugar breytingar á fjárfestingareignasafninu</w:t>
            </w:r>
          </w:p>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Geti sjóðurinn um sameiginlega fjárfestingu sýnt lögbæra yfirvaldinu fram á með fullnægjandi hætti að hann geti ekki nálgast einhverjar eða allar upplýsingarnar sem krafist er skv. i. lið verður sjóðurinn um sameiginlega fjárfestingu að veita allar þær upplýsingar sem hann hefur aðgang að, sem honum er kunnugt um og/eða sem hann getur ráðið af upplýsingum sem undirliggjandi útgefandi/sjóður um sameiginlega fjárfestingu/mótaðili birtir, til að uppfylla, að því marki sem unnt er, þær kröfur sem mælt er fyrir um í i. lið. Í slíkum tilvikum verður lýsingin að hafa að geyma áberandi viðvörun um að sjóðnum um sameiginlega fjárfestingu hafi verið ókleift að nálgast upplýsingarnar fyrir tilgreinda upplýsingaliði sem annars bæri að hafa í lýsingunni og því hafi takmarkaðar upplýsingar verið veittar um viðkomandi undirliggjandi útgefanda, sjóð um sameiginlega fjárfestingu eða mótaðila.</w:t>
            </w:r>
          </w:p>
        </w:tc>
      </w:tr>
      <w:tr w:rsidR="00052601" w:rsidRPr="00BC4182" w:rsidTr="0056743C">
        <w:tc>
          <w:tcPr>
            <w:tcW w:w="846" w:type="dxa"/>
            <w:tcBorders>
              <w:left w:val="nil"/>
            </w:tcBorders>
          </w:tcPr>
          <w:p w:rsidR="00052601" w:rsidRPr="00BC4182" w:rsidRDefault="00052601" w:rsidP="00052601">
            <w:pPr>
              <w:pStyle w:val="Meginml"/>
              <w:rPr>
                <w:rFonts w:ascii="Times New Roman" w:hAnsi="Times New Roman" w:cs="Times New Roman"/>
                <w:sz w:val="18"/>
                <w:szCs w:val="18"/>
              </w:rPr>
            </w:pPr>
          </w:p>
        </w:tc>
        <w:tc>
          <w:tcPr>
            <w:tcW w:w="1134" w:type="dxa"/>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Liður 2.3.</w:t>
            </w:r>
          </w:p>
        </w:tc>
        <w:tc>
          <w:tcPr>
            <w:tcW w:w="7371" w:type="dxa"/>
            <w:tcBorders>
              <w:right w:val="nil"/>
            </w:tcBorders>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Fjárfesti sjóður um sameiginlega fjárfestingu meira en 20% af brúttóeignum sínum í öðrum sjóðum um sameiginlega fjárfestingu (opnum eða lokuðum) skal lýsa fjárfestingunni og dreifingu áhættunnar í tengslum við þær fjárfestingar. Auk þess skal liður 2.2 gilda til viðbótar um allar undirliggjandi fjárfestingar sjóðsins um sameiginlega fjárfestingu eins og um beinar fjárfestingar væri að ræða.</w:t>
            </w:r>
          </w:p>
        </w:tc>
      </w:tr>
      <w:tr w:rsidR="00052601" w:rsidRPr="00BC4182" w:rsidTr="0056743C">
        <w:tc>
          <w:tcPr>
            <w:tcW w:w="846" w:type="dxa"/>
            <w:tcBorders>
              <w:left w:val="nil"/>
            </w:tcBorders>
          </w:tcPr>
          <w:p w:rsidR="00052601" w:rsidRPr="00BC4182" w:rsidRDefault="00052601" w:rsidP="00052601">
            <w:pPr>
              <w:pStyle w:val="Meginml"/>
              <w:rPr>
                <w:rFonts w:ascii="Times New Roman" w:hAnsi="Times New Roman" w:cs="Times New Roman"/>
                <w:sz w:val="18"/>
                <w:szCs w:val="18"/>
              </w:rPr>
            </w:pPr>
          </w:p>
        </w:tc>
        <w:tc>
          <w:tcPr>
            <w:tcW w:w="1134" w:type="dxa"/>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Liður 2.4.</w:t>
            </w:r>
          </w:p>
        </w:tc>
        <w:tc>
          <w:tcPr>
            <w:tcW w:w="7371" w:type="dxa"/>
            <w:tcBorders>
              <w:right w:val="nil"/>
            </w:tcBorders>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Að því er varðar c-lið liðar 2.2 skal veita upplýsingar um tryggingar fyrir þeim hluta áhættu gagnvart stökum mótaðila sem er umfram 20% af brúttóeignum sjóðsins um sameiginlega fjárfestingu.</w:t>
            </w:r>
          </w:p>
        </w:tc>
      </w:tr>
      <w:tr w:rsidR="00052601" w:rsidRPr="00BC4182" w:rsidTr="0056743C">
        <w:tc>
          <w:tcPr>
            <w:tcW w:w="846" w:type="dxa"/>
            <w:tcBorders>
              <w:left w:val="nil"/>
            </w:tcBorders>
          </w:tcPr>
          <w:p w:rsidR="00052601" w:rsidRPr="00BC4182" w:rsidRDefault="00052601" w:rsidP="00052601">
            <w:pPr>
              <w:pStyle w:val="Meginml"/>
              <w:rPr>
                <w:rFonts w:ascii="Times New Roman" w:hAnsi="Times New Roman" w:cs="Times New Roman"/>
                <w:sz w:val="18"/>
                <w:szCs w:val="18"/>
              </w:rPr>
            </w:pPr>
          </w:p>
        </w:tc>
        <w:tc>
          <w:tcPr>
            <w:tcW w:w="1134" w:type="dxa"/>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Liður 2.5.</w:t>
            </w:r>
          </w:p>
        </w:tc>
        <w:tc>
          <w:tcPr>
            <w:tcW w:w="7371" w:type="dxa"/>
            <w:tcBorders>
              <w:right w:val="nil"/>
            </w:tcBorders>
          </w:tcPr>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Fjárfesti sjóður um sameiginlega fjárfestingu meira en 40% brúttóeigna sinna í öðrum sjóði um sameiginlega fjárfestingu skal veita upplýsingar um annað af eftirtöldu:</w:t>
            </w:r>
          </w:p>
          <w:p w:rsidR="00052601" w:rsidRPr="00BC4182" w:rsidRDefault="00052601" w:rsidP="00052601">
            <w:pPr>
              <w:pStyle w:val="Tflutexti"/>
              <w:ind w:left="324" w:hanging="324"/>
              <w:rPr>
                <w:rFonts w:ascii="Times New Roman" w:hAnsi="Times New Roman" w:cs="Times New Roman"/>
                <w:sz w:val="18"/>
                <w:szCs w:val="18"/>
              </w:rPr>
            </w:pPr>
            <w:r w:rsidRPr="00BC4182">
              <w:rPr>
                <w:rFonts w:ascii="Times New Roman" w:hAnsi="Times New Roman" w:cs="Times New Roman"/>
                <w:sz w:val="18"/>
                <w:szCs w:val="18"/>
              </w:rPr>
              <w:t>a)</w:t>
            </w:r>
            <w:r w:rsidRPr="00BC4182">
              <w:rPr>
                <w:rFonts w:ascii="Times New Roman" w:hAnsi="Times New Roman" w:cs="Times New Roman"/>
                <w:sz w:val="18"/>
                <w:szCs w:val="18"/>
              </w:rPr>
              <w:tab/>
              <w:t>hvern undirliggjandi sjóð um sameiginlega fjárfestingu eins og hann sé útgefandi sem lýtur lágmarkskröfum um upplýsingagjöf eins og tilgreint er í þessum viðauka,</w:t>
            </w:r>
          </w:p>
          <w:p w:rsidR="00052601" w:rsidRPr="00BC4182" w:rsidRDefault="00052601" w:rsidP="00052601">
            <w:pPr>
              <w:pStyle w:val="Tflutexti"/>
              <w:ind w:left="324" w:hanging="324"/>
              <w:rPr>
                <w:rFonts w:ascii="Times New Roman" w:hAnsi="Times New Roman" w:cs="Times New Roman"/>
                <w:sz w:val="18"/>
                <w:szCs w:val="18"/>
              </w:rPr>
            </w:pPr>
            <w:r w:rsidRPr="00BC4182">
              <w:rPr>
                <w:rFonts w:ascii="Times New Roman" w:hAnsi="Times New Roman" w:cs="Times New Roman"/>
                <w:sz w:val="18"/>
                <w:szCs w:val="18"/>
              </w:rPr>
              <w:t>b)</w:t>
            </w:r>
            <w:r w:rsidRPr="00BC4182">
              <w:rPr>
                <w:rFonts w:ascii="Times New Roman" w:hAnsi="Times New Roman" w:cs="Times New Roman"/>
                <w:sz w:val="18"/>
                <w:szCs w:val="18"/>
              </w:rPr>
              <w:tab/>
              <w:t xml:space="preserve">ef verðbréf sem gefin eru út af undirliggjandi sjóði um sameiginlega fjárfestingu hafa þegar verið tekin til viðskipta á skipulegum markaði, eða jafngildum markaði þriðja lands, eða á </w:t>
            </w:r>
            <w:r w:rsidRPr="00BC4182">
              <w:rPr>
                <w:rFonts w:ascii="Times New Roman" w:hAnsi="Times New Roman" w:cs="Times New Roman"/>
                <w:sz w:val="18"/>
                <w:szCs w:val="18"/>
              </w:rPr>
              <w:lastRenderedPageBreak/>
              <w:t>vaxtarmarkaði lítilla og meðalstórra fyrirtækja eða ef skuldbindingarnar eru tryggðar af aðila, sem tekinn hefur verið til viðskipta á skipulegum markaði eða jafngildum markaði eða vaxtarmarkaði lítilla og meðalstórra fyrirtækja, skal veita upplýsingar um nafn, heimilisfang, skráningarland, eðli starfsemi og heiti markaðar þar sem verðbréfin hafa verið tekin til viðskipta.</w:t>
            </w:r>
          </w:p>
          <w:p w:rsidR="00052601" w:rsidRPr="00BC4182" w:rsidRDefault="00052601"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Geti sjóðurinn um sameiginlega fjárfestingu sýnt lögbæra yfirvaldinu fram á með fullnægjandi hætti að hann geti ekki nálgast einhverjar eða allar upplýsingar sem krafist er skv. i. lið, verður sjóðurinn um sameiginlega fjárfestingu að veita allar þær upplýsingar sem hann hefur aðgang að, honum er kunnugt um og/eða hann getur ráðið af upplýsingum sem undirliggjandi útgefandi/sjóður um sameiginlega fjárfestingu/mótaðili birtir til að uppfylla, að því marki sem unnt er, þær kröfur sem mælt er fyrir um í a-lið. Í slíkum tilvikum verður lýsingin að hafa að geyma áberandi viðvörun um að sjóðnum um sameiginlega fjárfestingu hafi verið ókleift að nálgast upplýsingarnar fyrir tilgreinda upplýsingaliði sem annars bæri að hafa í lýsingunni og því hafi takmarkaðar upplýsingar verið veittar um viðkomandi undirliggjandi útgefanda, sjóð um sameiginlega fjárfestingu eða mótaðila.</w:t>
            </w:r>
          </w:p>
        </w:tc>
      </w:tr>
      <w:tr w:rsidR="00052601" w:rsidRPr="00BC4182" w:rsidTr="0056743C">
        <w:tc>
          <w:tcPr>
            <w:tcW w:w="846" w:type="dxa"/>
            <w:tcBorders>
              <w:left w:val="nil"/>
            </w:tcBorders>
          </w:tcPr>
          <w:p w:rsidR="00052601" w:rsidRPr="00BC4182" w:rsidRDefault="00052601" w:rsidP="00052601">
            <w:pPr>
              <w:pStyle w:val="Meginml"/>
              <w:rPr>
                <w:rFonts w:ascii="Times New Roman" w:hAnsi="Times New Roman" w:cs="Times New Roman"/>
                <w:sz w:val="18"/>
                <w:szCs w:val="18"/>
              </w:rPr>
            </w:pPr>
          </w:p>
        </w:tc>
        <w:tc>
          <w:tcPr>
            <w:tcW w:w="1134" w:type="dxa"/>
          </w:tcPr>
          <w:p w:rsidR="00052601" w:rsidRPr="00BC4182" w:rsidRDefault="00881969"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Liður 2.6.</w:t>
            </w:r>
          </w:p>
        </w:tc>
        <w:tc>
          <w:tcPr>
            <w:tcW w:w="7371" w:type="dxa"/>
            <w:tcBorders>
              <w:right w:val="nil"/>
            </w:tcBorders>
          </w:tcPr>
          <w:p w:rsidR="00881969" w:rsidRPr="00BC4182" w:rsidRDefault="00881969" w:rsidP="00881969">
            <w:pPr>
              <w:pStyle w:val="Tflutexti"/>
              <w:rPr>
                <w:rFonts w:ascii="Times New Roman" w:hAnsi="Times New Roman" w:cs="Times New Roman"/>
                <w:sz w:val="18"/>
                <w:szCs w:val="18"/>
              </w:rPr>
            </w:pPr>
            <w:r w:rsidRPr="00BC4182">
              <w:rPr>
                <w:rFonts w:ascii="Times New Roman" w:hAnsi="Times New Roman" w:cs="Times New Roman"/>
                <w:sz w:val="18"/>
                <w:szCs w:val="18"/>
              </w:rPr>
              <w:t>Efnislegar hrávörur</w:t>
            </w:r>
          </w:p>
          <w:p w:rsidR="00052601" w:rsidRPr="00BC4182" w:rsidRDefault="00881969" w:rsidP="00881969">
            <w:pPr>
              <w:pStyle w:val="Tflutexti"/>
              <w:rPr>
                <w:rFonts w:ascii="Times New Roman" w:hAnsi="Times New Roman" w:cs="Times New Roman"/>
                <w:sz w:val="18"/>
                <w:szCs w:val="18"/>
              </w:rPr>
            </w:pPr>
            <w:r w:rsidRPr="00BC4182">
              <w:rPr>
                <w:rFonts w:ascii="Times New Roman" w:hAnsi="Times New Roman" w:cs="Times New Roman"/>
                <w:sz w:val="18"/>
                <w:szCs w:val="18"/>
              </w:rPr>
              <w:t>Fjárfesti sjóður um sameiginlega fjárfestingu beint í efnislegri hrávöru skal geta þess og tilgreina prósentu brúttóeigna sem þannig verða fjárfestar.</w:t>
            </w:r>
          </w:p>
        </w:tc>
      </w:tr>
      <w:tr w:rsidR="00052601" w:rsidRPr="00BC4182" w:rsidTr="0056743C">
        <w:tc>
          <w:tcPr>
            <w:tcW w:w="846" w:type="dxa"/>
            <w:tcBorders>
              <w:left w:val="nil"/>
            </w:tcBorders>
          </w:tcPr>
          <w:p w:rsidR="00052601" w:rsidRPr="00BC4182" w:rsidRDefault="00052601" w:rsidP="00052601">
            <w:pPr>
              <w:pStyle w:val="Meginml"/>
              <w:rPr>
                <w:rFonts w:ascii="Times New Roman" w:hAnsi="Times New Roman" w:cs="Times New Roman"/>
                <w:sz w:val="18"/>
                <w:szCs w:val="18"/>
              </w:rPr>
            </w:pPr>
          </w:p>
        </w:tc>
        <w:tc>
          <w:tcPr>
            <w:tcW w:w="1134" w:type="dxa"/>
          </w:tcPr>
          <w:p w:rsidR="00052601" w:rsidRPr="00BC4182" w:rsidRDefault="00881969" w:rsidP="00052601">
            <w:pPr>
              <w:pStyle w:val="Tflutexti"/>
              <w:rPr>
                <w:rFonts w:ascii="Times New Roman" w:hAnsi="Times New Roman" w:cs="Times New Roman"/>
                <w:sz w:val="18"/>
                <w:szCs w:val="18"/>
              </w:rPr>
            </w:pPr>
            <w:r w:rsidRPr="00BC4182">
              <w:rPr>
                <w:rFonts w:ascii="Times New Roman" w:hAnsi="Times New Roman" w:cs="Times New Roman"/>
                <w:sz w:val="18"/>
                <w:szCs w:val="18"/>
              </w:rPr>
              <w:t>Liður 2.7.</w:t>
            </w:r>
          </w:p>
        </w:tc>
        <w:tc>
          <w:tcPr>
            <w:tcW w:w="7371" w:type="dxa"/>
            <w:tcBorders>
              <w:right w:val="nil"/>
            </w:tcBorders>
          </w:tcPr>
          <w:p w:rsidR="00881969" w:rsidRPr="00BC4182" w:rsidRDefault="00881969" w:rsidP="00881969">
            <w:pPr>
              <w:pStyle w:val="Tflutexti"/>
              <w:rPr>
                <w:rFonts w:ascii="Times New Roman" w:hAnsi="Times New Roman" w:cs="Times New Roman"/>
                <w:sz w:val="18"/>
                <w:szCs w:val="18"/>
              </w:rPr>
            </w:pPr>
            <w:r w:rsidRPr="00BC4182">
              <w:rPr>
                <w:rFonts w:ascii="Times New Roman" w:hAnsi="Times New Roman" w:cs="Times New Roman"/>
                <w:sz w:val="18"/>
                <w:szCs w:val="18"/>
              </w:rPr>
              <w:t>Sjóðir um sameiginlega fjárfestingu í fasteignum</w:t>
            </w:r>
          </w:p>
          <w:p w:rsidR="00881969" w:rsidRPr="00BC4182" w:rsidRDefault="00881969" w:rsidP="00881969">
            <w:pPr>
              <w:pStyle w:val="Tflutexti"/>
              <w:rPr>
                <w:rFonts w:ascii="Times New Roman" w:hAnsi="Times New Roman" w:cs="Times New Roman"/>
                <w:sz w:val="18"/>
                <w:szCs w:val="18"/>
              </w:rPr>
            </w:pPr>
            <w:r w:rsidRPr="00BC4182">
              <w:rPr>
                <w:rFonts w:ascii="Times New Roman" w:hAnsi="Times New Roman" w:cs="Times New Roman"/>
                <w:sz w:val="18"/>
                <w:szCs w:val="18"/>
              </w:rPr>
              <w:t>Eigi sjóður um sameiginlega fjárfestingu fasteignir sem hluta eigna sinna samkvæmt fjárfestingarmarkmiðum sínum skal tilgreina þá prósentu af eignasafninu sem ætlunin er að fjárfesta í fasteignum, lýsa fasteignunum og tilgreina allan verulegan kostnað sem tengist því að kaupa og eiga slíkar fasteignir. Auk þess skal verðmatsskýrsla um fasteignina fylgja.</w:t>
            </w:r>
          </w:p>
          <w:p w:rsidR="00881969" w:rsidRPr="00BC4182" w:rsidRDefault="00881969" w:rsidP="00881969">
            <w:pPr>
              <w:pStyle w:val="Tflutexti"/>
              <w:rPr>
                <w:rFonts w:ascii="Times New Roman" w:hAnsi="Times New Roman" w:cs="Times New Roman"/>
                <w:sz w:val="18"/>
                <w:szCs w:val="18"/>
              </w:rPr>
            </w:pPr>
            <w:r w:rsidRPr="00BC4182">
              <w:rPr>
                <w:rFonts w:ascii="Times New Roman" w:hAnsi="Times New Roman" w:cs="Times New Roman"/>
                <w:sz w:val="18"/>
                <w:szCs w:val="18"/>
              </w:rPr>
              <w:t>Upplýsingakröfurnar í lið 4.1 gilda um:</w:t>
            </w:r>
          </w:p>
          <w:p w:rsidR="00881969" w:rsidRPr="00BC4182" w:rsidRDefault="00881969" w:rsidP="00881969">
            <w:pPr>
              <w:pStyle w:val="Tflutexti"/>
              <w:spacing w:after="0"/>
              <w:ind w:left="324" w:hanging="324"/>
              <w:rPr>
                <w:rFonts w:ascii="Times New Roman" w:hAnsi="Times New Roman" w:cs="Times New Roman"/>
                <w:sz w:val="18"/>
                <w:szCs w:val="18"/>
              </w:rPr>
            </w:pPr>
            <w:r w:rsidRPr="00BC4182">
              <w:rPr>
                <w:rFonts w:ascii="Times New Roman" w:hAnsi="Times New Roman" w:cs="Times New Roman"/>
                <w:sz w:val="18"/>
                <w:szCs w:val="18"/>
              </w:rPr>
              <w:t>a)</w:t>
            </w:r>
            <w:r w:rsidRPr="00BC4182">
              <w:rPr>
                <w:rFonts w:ascii="Times New Roman" w:hAnsi="Times New Roman" w:cs="Times New Roman"/>
                <w:sz w:val="18"/>
                <w:szCs w:val="18"/>
              </w:rPr>
              <w:tab/>
              <w:t>aðilann sem semur verðmatsskýrsluna,</w:t>
            </w:r>
          </w:p>
          <w:p w:rsidR="00052601" w:rsidRPr="00BC4182" w:rsidRDefault="00881969" w:rsidP="00881969">
            <w:pPr>
              <w:pStyle w:val="Tflutexti"/>
              <w:spacing w:before="0"/>
              <w:ind w:left="324" w:hanging="324"/>
              <w:rPr>
                <w:rFonts w:ascii="Times New Roman" w:hAnsi="Times New Roman" w:cs="Times New Roman"/>
                <w:sz w:val="18"/>
                <w:szCs w:val="18"/>
              </w:rPr>
            </w:pPr>
            <w:r w:rsidRPr="00BC4182">
              <w:rPr>
                <w:rFonts w:ascii="Times New Roman" w:hAnsi="Times New Roman" w:cs="Times New Roman"/>
                <w:sz w:val="18"/>
                <w:szCs w:val="18"/>
              </w:rPr>
              <w:t>b)</w:t>
            </w:r>
            <w:r w:rsidRPr="00BC4182">
              <w:rPr>
                <w:rFonts w:ascii="Times New Roman" w:hAnsi="Times New Roman" w:cs="Times New Roman"/>
                <w:sz w:val="18"/>
                <w:szCs w:val="18"/>
              </w:rPr>
              <w:tab/>
              <w:t>hvern þann annan aðila sem ber ábyrgð á umsýslu fasteignanna.</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2.8.</w:t>
            </w:r>
          </w:p>
        </w:tc>
        <w:tc>
          <w:tcPr>
            <w:tcW w:w="7371" w:type="dxa"/>
            <w:tcBorders>
              <w:right w:val="nil"/>
            </w:tcBorders>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Afleiður/peningamarkaðsgerningar/gjaldeyrir</w:t>
            </w:r>
          </w:p>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Fjárfesti sjóður um sameiginlega fjárfestingu í afleiðum, fjármálagerningum, peningamarkaðsgerningum eða gjaldeyri í öðrum tilgangi en til skilvirkrar stýringar eignasafns, þ.e. í þeim tilgangi einum að draga úr, færa til eða útrýma fjárfestingaráhættu í undirliggjandi fjárfestingum sjóðs um sameiginlega fjárfestingu, þ.m.t. með hvers konar aðferð eða gerningi sem notuð eru til varnar gegn gjaldeyris- og greiðslufallsáhættu, skal tilgreina hvort þessar fjárfestingar eru notaðar í áhættuvarnarskyni eða í fjárfestingarskyni og lýsa því hvar og hvernig áhættu er dreift í tengslum við þessar fjárfestingar.</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2.9.</w:t>
            </w:r>
          </w:p>
        </w:tc>
        <w:tc>
          <w:tcPr>
            <w:tcW w:w="7371" w:type="dxa"/>
            <w:tcBorders>
              <w:right w:val="nil"/>
            </w:tcBorders>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2.2 gildir ekki um fjárfestingar í verðbréfum sem eru gefin út af eða eru með ábyrgð hins opinbera, opinbers aðila eða stofnunar aðildarríkis, svæðis- eða staðaryfirvalda eða aðildarríkis að Efnahags- og framfarastofnuninni.</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2.10.</w:t>
            </w:r>
          </w:p>
        </w:tc>
        <w:tc>
          <w:tcPr>
            <w:tcW w:w="7371" w:type="dxa"/>
            <w:tcBorders>
              <w:right w:val="nil"/>
            </w:tcBorders>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Ákvæði a-liðar liðar 2.2 gildir ekki um sjóð um sameiginlega fjárfestingu ef fjárfestingarmarkmið hans er að fylgja víðtækri og viðurkenndri, útgefinni vísitölu án þess að víkja verulega frá henni. Tilgreina skal hvar hægt er að fá upplýsingar um vísitöluna.</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3. ÞÁTTUR</w:t>
            </w:r>
          </w:p>
        </w:tc>
        <w:tc>
          <w:tcPr>
            <w:tcW w:w="7371" w:type="dxa"/>
            <w:tcBorders>
              <w:right w:val="nil"/>
            </w:tcBorders>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ÞJÓNUSTUVEITENDUR UMSÆKJANDA</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3.1.</w:t>
            </w:r>
          </w:p>
        </w:tc>
        <w:tc>
          <w:tcPr>
            <w:tcW w:w="7371" w:type="dxa"/>
            <w:tcBorders>
              <w:right w:val="nil"/>
            </w:tcBorders>
          </w:tcPr>
          <w:p w:rsidR="005F3BF4" w:rsidRPr="00BC4182" w:rsidRDefault="005F3BF4"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Raunveruleg eða áætluð hámarksfjárhæð allra gjalda sem máli skipta og greiðast beint eða óbeint af sjóði um sameiginlega fjárfestingu fyrir hvers kyns þjónustu sem veitt er samkvæmt samningum sem eru gerðir á eða fyrir dagsetningu útgefandalýsingar ásamt lýsingu á því hvernig þessi gjöld eru reiknuð út.</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CD3D82"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3.2.</w:t>
            </w:r>
          </w:p>
        </w:tc>
        <w:tc>
          <w:tcPr>
            <w:tcW w:w="7371" w:type="dxa"/>
            <w:tcBorders>
              <w:right w:val="nil"/>
            </w:tcBorders>
          </w:tcPr>
          <w:p w:rsidR="005F3BF4" w:rsidRPr="00BC4182" w:rsidRDefault="00CD3D82"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Lýsing á öllum gjöldum sem greiðast beint eða óbeint af sjóði um sameiginlega fjárfestingu og ekki er hægt að magngreina skv. lið 3.1 og skipta máli eða gætu skipt máli.</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CD3D82"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3.3.</w:t>
            </w:r>
          </w:p>
        </w:tc>
        <w:tc>
          <w:tcPr>
            <w:tcW w:w="7371" w:type="dxa"/>
            <w:tcBorders>
              <w:right w:val="nil"/>
            </w:tcBorders>
          </w:tcPr>
          <w:p w:rsidR="005F3BF4" w:rsidRPr="00BC4182" w:rsidRDefault="00CD3D82"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Hafi þjónustuaðili sjóðs um sameiginlega fjárfestingu tekið við ávinningi frá þriðju aðilum (öðrum en viðkomandi sjóði um sameiginlega fjárfestingu) vegna þjónustu sem veitt er sjóðnum um sameiginlega fjárfestingu og hugsanlegt er að þessi ávinningur renni ekki til sjóðsins um sameiginlega fjárfestingu skal geta þess og tilgreina nafn þriðja aðilans, liggi það fyrir, og lýsa eðli ávinningsins.</w:t>
            </w:r>
          </w:p>
        </w:tc>
      </w:tr>
      <w:tr w:rsidR="005F3BF4" w:rsidRPr="00BC4182" w:rsidTr="0056743C">
        <w:tc>
          <w:tcPr>
            <w:tcW w:w="846" w:type="dxa"/>
            <w:tcBorders>
              <w:left w:val="nil"/>
            </w:tcBorders>
          </w:tcPr>
          <w:p w:rsidR="005F3BF4" w:rsidRPr="00BC4182" w:rsidRDefault="005F3BF4" w:rsidP="005F3BF4">
            <w:pPr>
              <w:pStyle w:val="Meginml"/>
              <w:rPr>
                <w:rFonts w:ascii="Times New Roman" w:hAnsi="Times New Roman" w:cs="Times New Roman"/>
                <w:sz w:val="18"/>
                <w:szCs w:val="18"/>
              </w:rPr>
            </w:pPr>
          </w:p>
        </w:tc>
        <w:tc>
          <w:tcPr>
            <w:tcW w:w="1134" w:type="dxa"/>
          </w:tcPr>
          <w:p w:rsidR="005F3BF4" w:rsidRPr="00BC4182" w:rsidRDefault="00CD3D82"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Liður 3.4.</w:t>
            </w:r>
          </w:p>
        </w:tc>
        <w:tc>
          <w:tcPr>
            <w:tcW w:w="7371" w:type="dxa"/>
            <w:tcBorders>
              <w:right w:val="nil"/>
            </w:tcBorders>
          </w:tcPr>
          <w:p w:rsidR="005F3BF4" w:rsidRPr="00BC4182" w:rsidRDefault="00CD3D82" w:rsidP="005F3BF4">
            <w:pPr>
              <w:pStyle w:val="Tflutexti"/>
              <w:rPr>
                <w:rFonts w:ascii="Times New Roman" w:hAnsi="Times New Roman" w:cs="Times New Roman"/>
                <w:sz w:val="18"/>
                <w:szCs w:val="18"/>
              </w:rPr>
            </w:pPr>
            <w:r w:rsidRPr="00BC4182">
              <w:rPr>
                <w:rFonts w:ascii="Times New Roman" w:hAnsi="Times New Roman" w:cs="Times New Roman"/>
                <w:sz w:val="18"/>
                <w:szCs w:val="18"/>
              </w:rPr>
              <w:t>Deili á þjónustuveitendum og lýsing á skyldum og réttindum fjárfesta.</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CD3D82"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3.5.</w:t>
            </w:r>
          </w:p>
        </w:tc>
        <w:tc>
          <w:tcPr>
            <w:tcW w:w="7371" w:type="dxa"/>
            <w:tcBorders>
              <w:right w:val="nil"/>
            </w:tcBorders>
          </w:tcPr>
          <w:p w:rsidR="00CD3D82" w:rsidRPr="00BC4182" w:rsidRDefault="00CD3D82"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Lýsing á hugsanlegum verulegum hagsmunaárekstrum sem þjónustuveitendur sjóðs um sameiginlega fjárfestingu geta staðið frammi fyrir milli skuldbindinga sinna við sjóðinn um sameiginlega fjárfestingu og skuldbindinga gagnvart þriðju aðilum og annarra hagsmuna sinna. Lýsing á hvers konar fyrirkomulagi sem er til staðar til að taka á slíkum hugsanlegum árekstrum.</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4. ÞÁTTUR</w:t>
            </w:r>
          </w:p>
        </w:tc>
        <w:tc>
          <w:tcPr>
            <w:tcW w:w="7371" w:type="dxa"/>
            <w:tcBorders>
              <w:right w:val="nil"/>
            </w:tcBorders>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FJÁRFESTINGARSTJÓRI/RÁÐGJAFAR</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4.1.</w:t>
            </w:r>
          </w:p>
        </w:tc>
        <w:tc>
          <w:tcPr>
            <w:tcW w:w="7371" w:type="dxa"/>
            <w:tcBorders>
              <w:right w:val="nil"/>
            </w:tcBorders>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Fyrir hvern fjárfestingastjóra, skal veita þær upplýsingar sem veita skal skv. liðum 4.1 og 4.4 og, ef máli skiptir, skv. lið 5.3 í 1. viðauka ásamt lýsingu á lagalegri stöðu og reynslu.</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4.2.</w:t>
            </w:r>
          </w:p>
        </w:tc>
        <w:tc>
          <w:tcPr>
            <w:tcW w:w="7371" w:type="dxa"/>
            <w:tcBorders>
              <w:right w:val="nil"/>
            </w:tcBorders>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Að því er varðar aðila sem veitir fjárfestingarráðgjöf í tengslum við eignir sjóðs um sameiginlega fjárfestingu skal tilgreina nafn og gefa stutta lýsingu á þeim aðila.</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5. ÞÁTTUR</w:t>
            </w:r>
          </w:p>
        </w:tc>
        <w:tc>
          <w:tcPr>
            <w:tcW w:w="7371" w:type="dxa"/>
            <w:tcBorders>
              <w:right w:val="nil"/>
            </w:tcBorders>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VARSLA</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80469"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5.1.</w:t>
            </w:r>
          </w:p>
        </w:tc>
        <w:tc>
          <w:tcPr>
            <w:tcW w:w="7371" w:type="dxa"/>
            <w:tcBorders>
              <w:right w:val="nil"/>
            </w:tcBorders>
          </w:tcPr>
          <w:p w:rsidR="00780469" w:rsidRPr="00BC4182" w:rsidRDefault="00780469" w:rsidP="00780469">
            <w:pPr>
              <w:pStyle w:val="Tflutexti"/>
              <w:rPr>
                <w:rFonts w:ascii="Times New Roman" w:hAnsi="Times New Roman" w:cs="Times New Roman"/>
                <w:sz w:val="18"/>
                <w:szCs w:val="18"/>
              </w:rPr>
            </w:pPr>
            <w:r w:rsidRPr="00BC4182">
              <w:rPr>
                <w:rFonts w:ascii="Times New Roman" w:hAnsi="Times New Roman" w:cs="Times New Roman"/>
                <w:sz w:val="18"/>
                <w:szCs w:val="18"/>
              </w:rPr>
              <w:t>Full lýsing á því hvernig eignir viðkomandi sjóðs um sameiginlega fjárfestingu verða varðveittar, hver varðveitir þær, ásamt fjárvörslusambandi eða sambærilegu sambandi á milli sjóðs um sameiginlega fjárfestingu og þriðja aðila í tengslum við vörslu.</w:t>
            </w:r>
          </w:p>
          <w:p w:rsidR="00780469" w:rsidRPr="00BC4182" w:rsidRDefault="00780469" w:rsidP="00780469">
            <w:pPr>
              <w:pStyle w:val="Tflutexti"/>
              <w:rPr>
                <w:rFonts w:ascii="Times New Roman" w:hAnsi="Times New Roman" w:cs="Times New Roman"/>
                <w:sz w:val="18"/>
                <w:szCs w:val="18"/>
              </w:rPr>
            </w:pPr>
            <w:r w:rsidRPr="00BC4182">
              <w:rPr>
                <w:rFonts w:ascii="Times New Roman" w:hAnsi="Times New Roman" w:cs="Times New Roman"/>
                <w:sz w:val="18"/>
                <w:szCs w:val="18"/>
              </w:rPr>
              <w:t>Sé vörsluaðili, fjárvörsluaðili eða annar umboðsmaður skipaður skal greina frá eftirfarandi:</w:t>
            </w:r>
          </w:p>
          <w:p w:rsidR="00780469" w:rsidRPr="00BC4182" w:rsidRDefault="00780469" w:rsidP="00780469">
            <w:pPr>
              <w:pStyle w:val="Tflutexti"/>
              <w:spacing w:after="0"/>
              <w:ind w:left="324" w:hanging="324"/>
              <w:rPr>
                <w:rFonts w:ascii="Times New Roman" w:hAnsi="Times New Roman" w:cs="Times New Roman"/>
                <w:sz w:val="18"/>
                <w:szCs w:val="18"/>
              </w:rPr>
            </w:pPr>
            <w:r w:rsidRPr="00BC4182">
              <w:rPr>
                <w:rFonts w:ascii="Times New Roman" w:hAnsi="Times New Roman" w:cs="Times New Roman"/>
                <w:sz w:val="18"/>
                <w:szCs w:val="18"/>
              </w:rPr>
              <w:t>a)</w:t>
            </w:r>
            <w:r w:rsidRPr="00BC4182">
              <w:rPr>
                <w:rFonts w:ascii="Times New Roman" w:hAnsi="Times New Roman" w:cs="Times New Roman"/>
                <w:sz w:val="18"/>
                <w:szCs w:val="18"/>
              </w:rPr>
              <w:tab/>
              <w:t>þeim upplýsingum sem krafist er í liðum 4.1. til 4.4 og, ef það skiptir máli, í lið 5.3 í 1. viðauka,</w:t>
            </w:r>
          </w:p>
          <w:p w:rsidR="00780469" w:rsidRPr="00BC4182" w:rsidRDefault="00780469" w:rsidP="00780469">
            <w:pPr>
              <w:pStyle w:val="Tflutexti"/>
              <w:spacing w:before="0" w:after="0"/>
              <w:ind w:left="324" w:hanging="324"/>
              <w:rPr>
                <w:rFonts w:ascii="Times New Roman" w:hAnsi="Times New Roman" w:cs="Times New Roman"/>
                <w:sz w:val="18"/>
                <w:szCs w:val="18"/>
              </w:rPr>
            </w:pPr>
            <w:r w:rsidRPr="00BC4182">
              <w:rPr>
                <w:rFonts w:ascii="Times New Roman" w:hAnsi="Times New Roman" w:cs="Times New Roman"/>
                <w:sz w:val="18"/>
                <w:szCs w:val="18"/>
              </w:rPr>
              <w:t>b)</w:t>
            </w:r>
            <w:r w:rsidRPr="00BC4182">
              <w:rPr>
                <w:rFonts w:ascii="Times New Roman" w:hAnsi="Times New Roman" w:cs="Times New Roman"/>
                <w:sz w:val="18"/>
                <w:szCs w:val="18"/>
              </w:rPr>
              <w:tab/>
              <w:t>lýsingu á skuldbindingum hvers aðila samkvæmt vörslusamningi eða svipuðum samningi,</w:t>
            </w:r>
          </w:p>
          <w:p w:rsidR="00780469" w:rsidRPr="00BC4182" w:rsidRDefault="00780469" w:rsidP="00780469">
            <w:pPr>
              <w:pStyle w:val="Tflutexti"/>
              <w:spacing w:before="0" w:after="0"/>
              <w:ind w:left="324" w:hanging="324"/>
              <w:rPr>
                <w:rFonts w:ascii="Times New Roman" w:hAnsi="Times New Roman" w:cs="Times New Roman"/>
                <w:sz w:val="18"/>
                <w:szCs w:val="18"/>
              </w:rPr>
            </w:pPr>
            <w:r w:rsidRPr="00BC4182">
              <w:rPr>
                <w:rFonts w:ascii="Times New Roman" w:hAnsi="Times New Roman" w:cs="Times New Roman"/>
                <w:sz w:val="18"/>
                <w:szCs w:val="18"/>
              </w:rPr>
              <w:t>c)</w:t>
            </w:r>
            <w:r w:rsidRPr="00BC4182">
              <w:rPr>
                <w:rFonts w:ascii="Times New Roman" w:hAnsi="Times New Roman" w:cs="Times New Roman"/>
                <w:sz w:val="18"/>
                <w:szCs w:val="18"/>
              </w:rPr>
              <w:tab/>
              <w:t>úthlutuðum vörslusamningum,</w:t>
            </w:r>
          </w:p>
          <w:p w:rsidR="00CD3D82" w:rsidRPr="00BC4182" w:rsidRDefault="00780469" w:rsidP="00780469">
            <w:pPr>
              <w:pStyle w:val="Tflutexti"/>
              <w:spacing w:before="0"/>
              <w:ind w:left="324" w:hanging="324"/>
              <w:rPr>
                <w:rFonts w:ascii="Times New Roman" w:hAnsi="Times New Roman" w:cs="Times New Roman"/>
                <w:sz w:val="18"/>
                <w:szCs w:val="18"/>
              </w:rPr>
            </w:pPr>
            <w:r w:rsidRPr="00BC4182">
              <w:rPr>
                <w:rFonts w:ascii="Times New Roman" w:hAnsi="Times New Roman" w:cs="Times New Roman"/>
                <w:sz w:val="18"/>
                <w:szCs w:val="18"/>
              </w:rPr>
              <w:t>d)</w:t>
            </w:r>
            <w:r w:rsidRPr="00BC4182">
              <w:rPr>
                <w:rFonts w:ascii="Times New Roman" w:hAnsi="Times New Roman" w:cs="Times New Roman"/>
                <w:sz w:val="18"/>
                <w:szCs w:val="18"/>
              </w:rPr>
              <w:tab/>
              <w:t>lagalegri stöðu hvers aðila og umboðsmanna hans.</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5.2.</w:t>
            </w:r>
          </w:p>
        </w:tc>
        <w:tc>
          <w:tcPr>
            <w:tcW w:w="7371" w:type="dxa"/>
            <w:tcBorders>
              <w:right w:val="nil"/>
            </w:tcBorders>
          </w:tcPr>
          <w:p w:rsidR="00CD3D82"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Séu einhverjar eignir sjóðs um sameiginlega fjárfestingu í vörslu annarra aðila en um getur í lið 5.1 skal lýsa því hvernig vörslu þeirra eigna er háttað og hvers kyns viðbótaráhættu.</w:t>
            </w:r>
          </w:p>
        </w:tc>
      </w:tr>
      <w:tr w:rsidR="00CD3D82" w:rsidRPr="00BC4182" w:rsidTr="0056743C">
        <w:tc>
          <w:tcPr>
            <w:tcW w:w="846" w:type="dxa"/>
            <w:tcBorders>
              <w:left w:val="nil"/>
            </w:tcBorders>
          </w:tcPr>
          <w:p w:rsidR="00CD3D82" w:rsidRPr="00BC4182" w:rsidRDefault="00CD3D82" w:rsidP="00CD3D82">
            <w:pPr>
              <w:pStyle w:val="Meginml"/>
              <w:rPr>
                <w:rFonts w:ascii="Times New Roman" w:hAnsi="Times New Roman" w:cs="Times New Roman"/>
                <w:sz w:val="18"/>
                <w:szCs w:val="18"/>
              </w:rPr>
            </w:pPr>
          </w:p>
        </w:tc>
        <w:tc>
          <w:tcPr>
            <w:tcW w:w="1134" w:type="dxa"/>
          </w:tcPr>
          <w:p w:rsidR="00CD3D82"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6. ÞÁTTUR</w:t>
            </w:r>
          </w:p>
        </w:tc>
        <w:tc>
          <w:tcPr>
            <w:tcW w:w="7371" w:type="dxa"/>
            <w:tcBorders>
              <w:right w:val="nil"/>
            </w:tcBorders>
          </w:tcPr>
          <w:p w:rsidR="00CD3D82"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VERÐMAT</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6.1.</w:t>
            </w:r>
          </w:p>
        </w:tc>
        <w:tc>
          <w:tcPr>
            <w:tcW w:w="7371" w:type="dxa"/>
            <w:tcBorders>
              <w:right w:val="nil"/>
            </w:tcBorders>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Lýsing á verðmatsferlinu og aðferð við verðlagningu til mats á eignum.</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6.2.</w:t>
            </w:r>
          </w:p>
        </w:tc>
        <w:tc>
          <w:tcPr>
            <w:tcW w:w="7371" w:type="dxa"/>
            <w:tcBorders>
              <w:right w:val="nil"/>
            </w:tcBorders>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Upplýsingar um aðstæður þar sem heimilt er að fresta verðmati og yfirlýsing um það hvernig fjárfestum er tilkynnt um slíka frestun eða hvernig þeir geti nálgast upplýsingar um hana.</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7. ÞÁTTUR</w:t>
            </w:r>
          </w:p>
        </w:tc>
        <w:tc>
          <w:tcPr>
            <w:tcW w:w="7371" w:type="dxa"/>
            <w:tcBorders>
              <w:right w:val="nil"/>
            </w:tcBorders>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GAGNKVÆMAR SKULDBINDINGAR</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7.1.</w:t>
            </w:r>
          </w:p>
        </w:tc>
        <w:tc>
          <w:tcPr>
            <w:tcW w:w="7371" w:type="dxa"/>
            <w:tcBorders>
              <w:right w:val="nil"/>
            </w:tcBorders>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Sé um að ræða yfirsjóð um sameiginlega fjárfestingu skal skýra frá hvers kyns gagnkvæmum skuldbindingum sem kunna að stofnast á móti flokkum fjárfestinga í öðrum sjóðum um sameiginlega fjárfestingu og ráðstöfunum sem gerðar eru til að takmarka slíkar skuldbindingar.</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8. ÞÁTTUR</w:t>
            </w:r>
          </w:p>
        </w:tc>
        <w:tc>
          <w:tcPr>
            <w:tcW w:w="7371" w:type="dxa"/>
            <w:tcBorders>
              <w:right w:val="nil"/>
            </w:tcBorders>
          </w:tcPr>
          <w:p w:rsidR="00780469" w:rsidRPr="00BC4182" w:rsidRDefault="00763B24" w:rsidP="00763B24">
            <w:pPr>
              <w:pStyle w:val="Tflutexti"/>
              <w:rPr>
                <w:rFonts w:ascii="Times New Roman" w:hAnsi="Times New Roman" w:cs="Times New Roman"/>
                <w:sz w:val="18"/>
                <w:szCs w:val="18"/>
              </w:rPr>
            </w:pPr>
            <w:r w:rsidRPr="00BC4182">
              <w:rPr>
                <w:rFonts w:ascii="Times New Roman" w:hAnsi="Times New Roman" w:cs="Times New Roman"/>
                <w:sz w:val="18"/>
                <w:szCs w:val="18"/>
              </w:rPr>
              <w:t>FJÁRHAGSUPPLÝSINGAR</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8.1.</w:t>
            </w:r>
          </w:p>
        </w:tc>
        <w:tc>
          <w:tcPr>
            <w:tcW w:w="7371" w:type="dxa"/>
            <w:tcBorders>
              <w:right w:val="nil"/>
            </w:tcBorders>
          </w:tcPr>
          <w:p w:rsidR="00763B24" w:rsidRPr="00BC4182" w:rsidRDefault="00763B24" w:rsidP="00763B24">
            <w:pPr>
              <w:pStyle w:val="Tflutexti"/>
              <w:rPr>
                <w:rFonts w:ascii="Times New Roman" w:hAnsi="Times New Roman" w:cs="Times New Roman"/>
                <w:sz w:val="18"/>
                <w:szCs w:val="18"/>
              </w:rPr>
            </w:pPr>
            <w:r w:rsidRPr="00BC4182">
              <w:rPr>
                <w:rFonts w:ascii="Times New Roman" w:hAnsi="Times New Roman" w:cs="Times New Roman"/>
                <w:sz w:val="18"/>
                <w:szCs w:val="18"/>
              </w:rPr>
              <w:t>Hafi sjóður um sameiginlega fjárfestingu ekki hafið starfsemi og engin reikningsskil verið samin á dagsetningu útgefandalýsingar frá skráningar- eða stofndegi skal lýsa því yfir.</w:t>
            </w:r>
          </w:p>
          <w:p w:rsidR="00780469" w:rsidRPr="00BC4182" w:rsidRDefault="00763B24" w:rsidP="00763B24">
            <w:pPr>
              <w:pStyle w:val="Tflutexti"/>
              <w:rPr>
                <w:rFonts w:ascii="Times New Roman" w:hAnsi="Times New Roman" w:cs="Times New Roman"/>
                <w:sz w:val="18"/>
                <w:szCs w:val="18"/>
              </w:rPr>
            </w:pPr>
            <w:r w:rsidRPr="00BC4182">
              <w:rPr>
                <w:rFonts w:ascii="Times New Roman" w:hAnsi="Times New Roman" w:cs="Times New Roman"/>
                <w:sz w:val="18"/>
                <w:szCs w:val="18"/>
              </w:rPr>
              <w:t>Hafi sjóður um sameiginlega fjárfestingu hafið starfsemi skulu ákvæði 18. þáttar 1. viðauka eða 11. þáttar 3. viðauka gilda eftir því sem við á.</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8.2.</w:t>
            </w:r>
          </w:p>
        </w:tc>
        <w:tc>
          <w:tcPr>
            <w:tcW w:w="7371" w:type="dxa"/>
            <w:tcBorders>
              <w:right w:val="nil"/>
            </w:tcBorders>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Tæmandi og markviss greining á eignasafni sjóðs um sameiginlega fjárfestingu. Hafi eignasafnið ekki verið endurskoðað skal það koma skýrt fram.</w:t>
            </w:r>
          </w:p>
        </w:tc>
      </w:tr>
      <w:tr w:rsidR="00780469" w:rsidRPr="00BC4182" w:rsidTr="0056743C">
        <w:tc>
          <w:tcPr>
            <w:tcW w:w="846" w:type="dxa"/>
            <w:tcBorders>
              <w:left w:val="nil"/>
            </w:tcBorders>
          </w:tcPr>
          <w:p w:rsidR="00780469" w:rsidRPr="00BC4182" w:rsidRDefault="00780469" w:rsidP="00CD3D82">
            <w:pPr>
              <w:pStyle w:val="Meginml"/>
              <w:rPr>
                <w:rFonts w:ascii="Times New Roman" w:hAnsi="Times New Roman" w:cs="Times New Roman"/>
                <w:sz w:val="18"/>
                <w:szCs w:val="18"/>
              </w:rPr>
            </w:pPr>
          </w:p>
        </w:tc>
        <w:tc>
          <w:tcPr>
            <w:tcW w:w="1134" w:type="dxa"/>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Liður 8.3.</w:t>
            </w:r>
          </w:p>
        </w:tc>
        <w:tc>
          <w:tcPr>
            <w:tcW w:w="7371" w:type="dxa"/>
            <w:tcBorders>
              <w:right w:val="nil"/>
            </w:tcBorders>
          </w:tcPr>
          <w:p w:rsidR="00780469" w:rsidRPr="00BC4182" w:rsidRDefault="00763B24" w:rsidP="00CD3D82">
            <w:pPr>
              <w:pStyle w:val="Tflutexti"/>
              <w:rPr>
                <w:rFonts w:ascii="Times New Roman" w:hAnsi="Times New Roman" w:cs="Times New Roman"/>
                <w:sz w:val="18"/>
                <w:szCs w:val="18"/>
              </w:rPr>
            </w:pPr>
            <w:r w:rsidRPr="00BC4182">
              <w:rPr>
                <w:rFonts w:ascii="Times New Roman" w:hAnsi="Times New Roman" w:cs="Times New Roman"/>
                <w:sz w:val="18"/>
                <w:szCs w:val="18"/>
              </w:rPr>
              <w:t>Tilgreina skal nýjasta innra virði sjóðs um sameiginlega fjárfestingu eða nýjasta markaðsverð hlutdeildarskírteinis eða hluta í sjóðnum um sameiginlega fjárfestingu. Hafi innra virði eða nýjasta markaðsverð hlutdeildarskírteinis eða hlutar hefur ekki verið endurskoðað skal það koma sýrt fram.</w:t>
            </w:r>
          </w:p>
        </w:tc>
      </w:tr>
    </w:tbl>
    <w:p w:rsidR="0056743C" w:rsidRPr="00BC4182" w:rsidRDefault="0056743C" w:rsidP="009B320D">
      <w:pPr>
        <w:pStyle w:val="Meginml"/>
        <w:rPr>
          <w:rFonts w:ascii="Times New Roman" w:hAnsi="Times New Roman" w:cs="Times New Roman"/>
          <w:sz w:val="18"/>
          <w:szCs w:val="18"/>
        </w:rPr>
      </w:pPr>
      <w:bookmarkStart w:id="0" w:name="_GoBack"/>
      <w:bookmarkEnd w:id="0"/>
    </w:p>
    <w:sectPr w:rsidR="0056743C" w:rsidRPr="00BC4182"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BC4182">
          <w:rPr>
            <w:rFonts w:ascii="Syntax LT Std" w:hAnsi="Syntax LT Std"/>
            <w:noProof/>
            <w:sz w:val="18"/>
            <w:szCs w:val="18"/>
          </w:rPr>
          <w:t>2</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onsecutiveHyphenLimit w:val="3"/>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52601"/>
    <w:rsid w:val="00071910"/>
    <w:rsid w:val="0008056E"/>
    <w:rsid w:val="000969A7"/>
    <w:rsid w:val="000B1246"/>
    <w:rsid w:val="000C4A85"/>
    <w:rsid w:val="000E3F84"/>
    <w:rsid w:val="000F41BB"/>
    <w:rsid w:val="00110951"/>
    <w:rsid w:val="00112D07"/>
    <w:rsid w:val="00115C50"/>
    <w:rsid w:val="00124A1D"/>
    <w:rsid w:val="00124A7B"/>
    <w:rsid w:val="00145496"/>
    <w:rsid w:val="0015527B"/>
    <w:rsid w:val="00166A8A"/>
    <w:rsid w:val="00173F0B"/>
    <w:rsid w:val="001900B4"/>
    <w:rsid w:val="00193857"/>
    <w:rsid w:val="00193BC3"/>
    <w:rsid w:val="001A4B41"/>
    <w:rsid w:val="001C014B"/>
    <w:rsid w:val="001E5E3E"/>
    <w:rsid w:val="001F20DA"/>
    <w:rsid w:val="0023476A"/>
    <w:rsid w:val="0027081A"/>
    <w:rsid w:val="002776DC"/>
    <w:rsid w:val="00281163"/>
    <w:rsid w:val="002834C2"/>
    <w:rsid w:val="002C14F6"/>
    <w:rsid w:val="002C1F03"/>
    <w:rsid w:val="002C4DEE"/>
    <w:rsid w:val="002D383E"/>
    <w:rsid w:val="002D5752"/>
    <w:rsid w:val="002E73A5"/>
    <w:rsid w:val="002F5BAF"/>
    <w:rsid w:val="00315932"/>
    <w:rsid w:val="0034708D"/>
    <w:rsid w:val="003530CE"/>
    <w:rsid w:val="0037551E"/>
    <w:rsid w:val="0038196C"/>
    <w:rsid w:val="003A6ACB"/>
    <w:rsid w:val="003B26F8"/>
    <w:rsid w:val="003B7EF8"/>
    <w:rsid w:val="00400584"/>
    <w:rsid w:val="00431712"/>
    <w:rsid w:val="00453322"/>
    <w:rsid w:val="00472427"/>
    <w:rsid w:val="004B390F"/>
    <w:rsid w:val="004C2AD6"/>
    <w:rsid w:val="004F7A17"/>
    <w:rsid w:val="005408A1"/>
    <w:rsid w:val="00551F59"/>
    <w:rsid w:val="00553173"/>
    <w:rsid w:val="0056743C"/>
    <w:rsid w:val="005A29F9"/>
    <w:rsid w:val="005A581B"/>
    <w:rsid w:val="005E0130"/>
    <w:rsid w:val="005F3BF4"/>
    <w:rsid w:val="005F58FF"/>
    <w:rsid w:val="00606C30"/>
    <w:rsid w:val="00616F56"/>
    <w:rsid w:val="00620C4C"/>
    <w:rsid w:val="00621A1C"/>
    <w:rsid w:val="00625694"/>
    <w:rsid w:val="00646C80"/>
    <w:rsid w:val="00651203"/>
    <w:rsid w:val="006743E4"/>
    <w:rsid w:val="006A09C0"/>
    <w:rsid w:val="006C5373"/>
    <w:rsid w:val="006C70F2"/>
    <w:rsid w:val="006D601C"/>
    <w:rsid w:val="006D7F78"/>
    <w:rsid w:val="00702DD5"/>
    <w:rsid w:val="00706462"/>
    <w:rsid w:val="00737D2D"/>
    <w:rsid w:val="00753BAC"/>
    <w:rsid w:val="00760BE8"/>
    <w:rsid w:val="00763B24"/>
    <w:rsid w:val="00780469"/>
    <w:rsid w:val="007B0B36"/>
    <w:rsid w:val="007B4FD3"/>
    <w:rsid w:val="007B5B30"/>
    <w:rsid w:val="007E461F"/>
    <w:rsid w:val="007F6312"/>
    <w:rsid w:val="00800EC5"/>
    <w:rsid w:val="008102DF"/>
    <w:rsid w:val="00843318"/>
    <w:rsid w:val="00852758"/>
    <w:rsid w:val="00881969"/>
    <w:rsid w:val="00884E14"/>
    <w:rsid w:val="008A14B5"/>
    <w:rsid w:val="008A15DC"/>
    <w:rsid w:val="008D2569"/>
    <w:rsid w:val="008D3D19"/>
    <w:rsid w:val="00911C1E"/>
    <w:rsid w:val="0093269A"/>
    <w:rsid w:val="00934E11"/>
    <w:rsid w:val="0096481A"/>
    <w:rsid w:val="0096694E"/>
    <w:rsid w:val="009B320D"/>
    <w:rsid w:val="009B6F21"/>
    <w:rsid w:val="009C2663"/>
    <w:rsid w:val="009D0B31"/>
    <w:rsid w:val="009D541A"/>
    <w:rsid w:val="00A6629E"/>
    <w:rsid w:val="00A83EDE"/>
    <w:rsid w:val="00AE62B0"/>
    <w:rsid w:val="00B14D7F"/>
    <w:rsid w:val="00B15DBD"/>
    <w:rsid w:val="00B271B8"/>
    <w:rsid w:val="00B47397"/>
    <w:rsid w:val="00B724CE"/>
    <w:rsid w:val="00B75D56"/>
    <w:rsid w:val="00B851E6"/>
    <w:rsid w:val="00B948CF"/>
    <w:rsid w:val="00BC06D8"/>
    <w:rsid w:val="00BC4182"/>
    <w:rsid w:val="00BC4587"/>
    <w:rsid w:val="00BF72D5"/>
    <w:rsid w:val="00C50053"/>
    <w:rsid w:val="00C5268A"/>
    <w:rsid w:val="00C61062"/>
    <w:rsid w:val="00C7686E"/>
    <w:rsid w:val="00C93CDF"/>
    <w:rsid w:val="00CA75FB"/>
    <w:rsid w:val="00CB34D8"/>
    <w:rsid w:val="00CC5632"/>
    <w:rsid w:val="00CD20EA"/>
    <w:rsid w:val="00CD3D82"/>
    <w:rsid w:val="00CF771D"/>
    <w:rsid w:val="00D16F4E"/>
    <w:rsid w:val="00D226DA"/>
    <w:rsid w:val="00D63942"/>
    <w:rsid w:val="00D70593"/>
    <w:rsid w:val="00D94D99"/>
    <w:rsid w:val="00DA0C47"/>
    <w:rsid w:val="00DB324A"/>
    <w:rsid w:val="00DC3823"/>
    <w:rsid w:val="00DC4C8B"/>
    <w:rsid w:val="00DE116E"/>
    <w:rsid w:val="00DF0B2D"/>
    <w:rsid w:val="00E272DD"/>
    <w:rsid w:val="00E55468"/>
    <w:rsid w:val="00E62101"/>
    <w:rsid w:val="00E74430"/>
    <w:rsid w:val="00E8597A"/>
    <w:rsid w:val="00E90779"/>
    <w:rsid w:val="00E94720"/>
    <w:rsid w:val="00EB1F15"/>
    <w:rsid w:val="00EB2C0B"/>
    <w:rsid w:val="00ED1441"/>
    <w:rsid w:val="00EE1F3A"/>
    <w:rsid w:val="00EF0CBF"/>
    <w:rsid w:val="00EF3182"/>
    <w:rsid w:val="00EF7920"/>
    <w:rsid w:val="00F256B2"/>
    <w:rsid w:val="00F54F76"/>
    <w:rsid w:val="00F662C0"/>
    <w:rsid w:val="00F72C3C"/>
    <w:rsid w:val="00F75224"/>
    <w:rsid w:val="00F87F3F"/>
    <w:rsid w:val="00FA026D"/>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is-IS"/>
    </w:rPr>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rPr>
  </w:style>
  <w:style w:type="paragraph" w:customStyle="1" w:styleId="Neanmlsgreinar">
    <w:name w:val="Neðanmálsgreinar"/>
    <w:basedOn w:val="NeanmlsgreinarFME"/>
    <w:rsid w:val="00016CB1"/>
    <w:pPr>
      <w:ind w:left="284" w:hanging="284"/>
    </w:pPr>
  </w:style>
  <w:style w:type="paragraph" w:customStyle="1" w:styleId="Textiundantflu">
    <w:name w:val="Texti á undan töflu"/>
    <w:basedOn w:val="Meginml"/>
    <w:rsid w:val="00E94720"/>
    <w:pPr>
      <w:spacing w:line="22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089363-3AAE-46E9-A0DC-6802328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253</TotalTime>
  <Pages>4</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76</cp:revision>
  <cp:lastPrinted>2020-02-10T13:55:00Z</cp:lastPrinted>
  <dcterms:created xsi:type="dcterms:W3CDTF">2020-01-21T10:14:00Z</dcterms:created>
  <dcterms:modified xsi:type="dcterms:W3CDTF">2020-05-05T08:25:00Z</dcterms:modified>
</cp:coreProperties>
</file>