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3874FD" w:rsidRDefault="00B724CE" w:rsidP="00C018AD">
      <w:pPr>
        <w:pStyle w:val="FyrirsgnrauFMEbaratitill"/>
        <w:spacing w:after="120"/>
        <w:jc w:val="center"/>
        <w:rPr>
          <w:rFonts w:ascii="Times New Roman" w:hAnsi="Times New Roman" w:cs="Times New Roman"/>
          <w:color w:val="000000" w:themeColor="text1"/>
          <w:lang w:val="is-IS"/>
        </w:rPr>
      </w:pPr>
      <w:r w:rsidRPr="003874FD">
        <w:rPr>
          <w:rFonts w:ascii="Times New Roman" w:hAnsi="Times New Roman" w:cs="Times New Roman"/>
          <w:color w:val="000000" w:themeColor="text1"/>
          <w:lang w:val="is-IS"/>
        </w:rPr>
        <w:t>1</w:t>
      </w:r>
      <w:r w:rsidR="00FE127C" w:rsidRPr="003874FD">
        <w:rPr>
          <w:rFonts w:ascii="Times New Roman" w:hAnsi="Times New Roman" w:cs="Times New Roman"/>
          <w:color w:val="000000" w:themeColor="text1"/>
          <w:lang w:val="is-IS"/>
        </w:rPr>
        <w:t>7</w:t>
      </w:r>
      <w:r w:rsidRPr="003874FD">
        <w:rPr>
          <w:rFonts w:ascii="Times New Roman" w:hAnsi="Times New Roman" w:cs="Times New Roman"/>
          <w:color w:val="000000" w:themeColor="text1"/>
          <w:lang w:val="is-IS"/>
        </w:rPr>
        <w:t>. VIÐAUKI</w:t>
      </w:r>
    </w:p>
    <w:p w:rsidR="00116B21" w:rsidRPr="003874FD" w:rsidRDefault="00116B21" w:rsidP="00116B21">
      <w:pPr>
        <w:pStyle w:val="Meginml"/>
        <w:jc w:val="center"/>
        <w:rPr>
          <w:rFonts w:ascii="Times New Roman" w:hAnsi="Times New Roman" w:cs="Times New Roman"/>
          <w:sz w:val="24"/>
        </w:rPr>
      </w:pPr>
      <w:r w:rsidRPr="003874FD">
        <w:rPr>
          <w:rFonts w:ascii="Times New Roman" w:hAnsi="Times New Roman" w:cs="Times New Roman"/>
          <w:sz w:val="24"/>
        </w:rPr>
        <w:t xml:space="preserve">VERÐBRÉF SEM LEIÐA TIL GREIÐSLU- EÐA </w:t>
      </w:r>
      <w:r w:rsidRPr="003874FD">
        <w:rPr>
          <w:rFonts w:ascii="Times New Roman" w:hAnsi="Times New Roman" w:cs="Times New Roman"/>
          <w:sz w:val="24"/>
        </w:rPr>
        <w:br/>
        <w:t>AFHENDINGARSKYLDU SEM TENGIST UNDIRLIGGJANDI EIGN</w:t>
      </w:r>
    </w:p>
    <w:p w:rsidR="00E25477" w:rsidRPr="003874FD" w:rsidRDefault="00B724CE" w:rsidP="00E25477">
      <w:pPr>
        <w:pStyle w:val="KaflaheitiFME"/>
        <w:spacing w:before="120"/>
        <w:jc w:val="center"/>
        <w:rPr>
          <w:rFonts w:ascii="Times New Roman" w:hAnsi="Times New Roman" w:cs="Times New Roman"/>
          <w:sz w:val="20"/>
          <w:szCs w:val="20"/>
          <w:lang w:val="is-IS"/>
        </w:rPr>
      </w:pPr>
      <w:r w:rsidRPr="003874FD">
        <w:rPr>
          <w:rFonts w:ascii="Times New Roman" w:hAnsi="Times New Roman" w:cs="Times New Roman"/>
          <w:sz w:val="20"/>
          <w:szCs w:val="20"/>
          <w:lang w:val="is-IS"/>
        </w:rPr>
        <w:t>FRAMSELD REGL</w:t>
      </w:r>
      <w:r w:rsidR="00813C74" w:rsidRPr="003874FD">
        <w:rPr>
          <w:rFonts w:ascii="Times New Roman" w:hAnsi="Times New Roman" w:cs="Times New Roman"/>
          <w:sz w:val="20"/>
          <w:szCs w:val="20"/>
          <w:lang w:val="is-IS"/>
        </w:rPr>
        <w:t>U</w:t>
      </w:r>
      <w:r w:rsidRPr="003874FD">
        <w:rPr>
          <w:rFonts w:ascii="Times New Roman" w:hAnsi="Times New Roman" w:cs="Times New Roman"/>
          <w:sz w:val="20"/>
          <w:szCs w:val="20"/>
          <w:lang w:val="is-IS"/>
        </w:rPr>
        <w:t>GERÐ FRAMKVÆMDASTJÓRNARINNAR (ESB) 2019/980</w:t>
      </w:r>
    </w:p>
    <w:p w:rsidR="00E25477" w:rsidRPr="003874FD" w:rsidRDefault="00E25477" w:rsidP="00E25477">
      <w:pPr>
        <w:pStyle w:val="Meginml"/>
        <w:rPr>
          <w:rFonts w:ascii="Times New Roman" w:hAnsi="Times New Roman" w:cs="Times New Roman"/>
          <w:lang w:val="is-IS"/>
        </w:rPr>
      </w:pPr>
    </w:p>
    <w:p w:rsidR="00FE127C" w:rsidRPr="003874FD" w:rsidRDefault="00FE127C" w:rsidP="00FE127C">
      <w:pPr>
        <w:pStyle w:val="Meginml"/>
        <w:rPr>
          <w:rFonts w:ascii="Times New Roman" w:hAnsi="Times New Roman" w:cs="Times New Roman"/>
          <w:lang w:val="is-IS" w:eastAsia="is-IS"/>
        </w:rPr>
      </w:pPr>
      <w:r w:rsidRPr="003874FD">
        <w:rPr>
          <w:rFonts w:ascii="Times New Roman" w:hAnsi="Times New Roman" w:cs="Times New Roman"/>
          <w:lang w:val="is-IS" w:eastAsia="is-IS"/>
        </w:rPr>
        <w:t xml:space="preserve">Ef ósamræmi er á milli íslensks og ensks texta framseldrar reglugerðar framkvæmdastjórnarinnar (ESB) 2019/980 skal skýra íslenska textann með hliðsjón af </w:t>
      </w:r>
      <w:bookmarkStart w:id="0" w:name="_GoBack"/>
      <w:bookmarkEnd w:id="0"/>
      <w:r w:rsidRPr="003874FD">
        <w:rPr>
          <w:rFonts w:ascii="Times New Roman" w:hAnsi="Times New Roman" w:cs="Times New Roman"/>
          <w:lang w:val="is-IS" w:eastAsia="is-IS"/>
        </w:rPr>
        <w:t>enska textanum. Ef ósamræmi er á milli textans í þessu skjali og texta framseldrar reglugerðar framkvæmdastjórnarinnar (ESB) 2019/980 er það texti reglu</w:t>
      </w:r>
      <w:r w:rsidR="003A68A0" w:rsidRPr="003874FD">
        <w:rPr>
          <w:rFonts w:ascii="Times New Roman" w:hAnsi="Times New Roman" w:cs="Times New Roman"/>
          <w:lang w:val="is-IS" w:eastAsia="is-IS"/>
        </w:rPr>
        <w:softHyphen/>
      </w:r>
      <w:r w:rsidRPr="003874FD">
        <w:rPr>
          <w:rFonts w:ascii="Times New Roman" w:hAnsi="Times New Roman" w:cs="Times New Roman"/>
          <w:lang w:val="is-IS" w:eastAsia="is-IS"/>
        </w:rPr>
        <w:t>gerðarinnar sem gildir.</w:t>
      </w:r>
    </w:p>
    <w:p w:rsidR="007B4FD3" w:rsidRPr="003874FD" w:rsidRDefault="007B4FD3" w:rsidP="00FE127C">
      <w:pPr>
        <w:pStyle w:val="Meginml"/>
        <w:rPr>
          <w:rFonts w:ascii="Times New Roman" w:hAnsi="Times New Roman" w:cs="Times New Roman"/>
          <w:sz w:val="18"/>
          <w:szCs w:val="18"/>
        </w:rPr>
      </w:pPr>
    </w:p>
    <w:tbl>
      <w:tblPr>
        <w:tblStyle w:val="TableGrid"/>
        <w:tblW w:w="9214" w:type="dxa"/>
        <w:tblBorders>
          <w:left w:val="none" w:sz="0" w:space="0" w:color="auto"/>
          <w:right w:val="none" w:sz="0" w:space="0" w:color="auto"/>
        </w:tblBorders>
        <w:tblLook w:val="04A0" w:firstRow="1" w:lastRow="0" w:firstColumn="1" w:lastColumn="0" w:noHBand="0" w:noVBand="1"/>
      </w:tblPr>
      <w:tblGrid>
        <w:gridCol w:w="1276"/>
        <w:gridCol w:w="6804"/>
        <w:gridCol w:w="1134"/>
      </w:tblGrid>
      <w:tr w:rsidR="00FE127C" w:rsidRPr="003874FD" w:rsidTr="00FE127C">
        <w:trPr>
          <w:trHeight w:val="567"/>
        </w:trPr>
        <w:tc>
          <w:tcPr>
            <w:tcW w:w="1276" w:type="dxa"/>
          </w:tcPr>
          <w:p w:rsidR="00FE127C" w:rsidRPr="003874FD" w:rsidRDefault="00FE127C" w:rsidP="007B5B30">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1. ÞÁTTUR</w:t>
            </w:r>
          </w:p>
        </w:tc>
        <w:tc>
          <w:tcPr>
            <w:tcW w:w="7938" w:type="dxa"/>
            <w:gridSpan w:val="2"/>
          </w:tcPr>
          <w:p w:rsidR="00FE127C" w:rsidRPr="003874FD" w:rsidRDefault="00FE127C" w:rsidP="002F4DE5">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ÁHÆTTUÞÆTTIR</w:t>
            </w:r>
          </w:p>
        </w:tc>
      </w:tr>
      <w:tr w:rsidR="00FE127C" w:rsidRPr="003874FD" w:rsidTr="00300E21">
        <w:trPr>
          <w:trHeight w:val="567"/>
        </w:trPr>
        <w:tc>
          <w:tcPr>
            <w:tcW w:w="1276" w:type="dxa"/>
          </w:tcPr>
          <w:p w:rsidR="00FE127C" w:rsidRPr="003874FD" w:rsidRDefault="00FE127C" w:rsidP="007B5B30">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Liður 1.1.</w:t>
            </w:r>
          </w:p>
        </w:tc>
        <w:tc>
          <w:tcPr>
            <w:tcW w:w="6804" w:type="dxa"/>
          </w:tcPr>
          <w:p w:rsidR="00FE127C" w:rsidRPr="003874FD" w:rsidRDefault="00FE127C" w:rsidP="002834C2">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Upplýsingar um áhættuþætti sem skipta máli fyrir verðbréfin sem eru boðin til kaups og/eða tekin til viðskipta svo meta megi markaðsáhættuna sem tengist þeim skulu birtar á áberandi stað í kafla sem ber yfirskriftina „Áhættuþættir“. Ef við á skal þetta fela í sér áhættuviðvörun þess efnis að fjárfestar geti tapað verðmæti allrar fjárfestingar sinnar eða hluta hennar, eftir atvikum og tak</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markist ábyrgð fjárfestis ekki við verðmæti fjárfestingar hans skal geta þess og lýsa aðstæðum þar sem slík viðbótarábyrgð skapast og líklegum fjárhagslegum áhrifum.</w:t>
            </w:r>
          </w:p>
        </w:tc>
        <w:tc>
          <w:tcPr>
            <w:tcW w:w="1134" w:type="dxa"/>
            <w:tcBorders>
              <w:bottom w:val="single" w:sz="4" w:space="0" w:color="auto"/>
            </w:tcBorders>
          </w:tcPr>
          <w:p w:rsidR="00FE127C" w:rsidRPr="003874FD" w:rsidRDefault="00FE127C" w:rsidP="0011486D">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Flokkur A</w:t>
            </w:r>
          </w:p>
        </w:tc>
      </w:tr>
      <w:tr w:rsidR="00FE127C" w:rsidRPr="003874FD" w:rsidTr="00300E21">
        <w:trPr>
          <w:trHeight w:val="567"/>
        </w:trPr>
        <w:tc>
          <w:tcPr>
            <w:tcW w:w="1276" w:type="dxa"/>
          </w:tcPr>
          <w:p w:rsidR="00FE127C" w:rsidRPr="003874FD" w:rsidRDefault="00FE127C" w:rsidP="007B5B30">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2. ÞÁTTUR</w:t>
            </w:r>
          </w:p>
        </w:tc>
        <w:tc>
          <w:tcPr>
            <w:tcW w:w="6804" w:type="dxa"/>
            <w:tcBorders>
              <w:right w:val="nil"/>
            </w:tcBorders>
          </w:tcPr>
          <w:p w:rsidR="00FE127C" w:rsidRPr="003874FD" w:rsidRDefault="00FE127C" w:rsidP="002F4DE5">
            <w:pPr>
              <w:pStyle w:val="Tflutexti"/>
              <w:rPr>
                <w:rFonts w:ascii="Times New Roman" w:hAnsi="Times New Roman" w:cs="Times New Roman"/>
                <w:sz w:val="18"/>
                <w:szCs w:val="18"/>
              </w:rPr>
            </w:pPr>
            <w:r w:rsidRPr="003874FD">
              <w:rPr>
                <w:rFonts w:ascii="Times New Roman" w:hAnsi="Times New Roman" w:cs="Times New Roman"/>
                <w:sz w:val="18"/>
                <w:szCs w:val="18"/>
              </w:rPr>
              <w:t>UPPLÝSINGAR UM VERÐBRÉFIN SEM Á AÐ BJÓÐA/TAKA TIL VIÐSKIPTA</w:t>
            </w:r>
          </w:p>
        </w:tc>
        <w:tc>
          <w:tcPr>
            <w:tcW w:w="1134" w:type="dxa"/>
            <w:tcBorders>
              <w:left w:val="nil"/>
              <w:bottom w:val="single" w:sz="4" w:space="0" w:color="auto"/>
            </w:tcBorders>
          </w:tcPr>
          <w:p w:rsidR="00FE127C" w:rsidRPr="003874FD" w:rsidRDefault="00FE127C" w:rsidP="0011486D">
            <w:pPr>
              <w:pStyle w:val="Tflutexti"/>
              <w:spacing w:line="240" w:lineRule="auto"/>
              <w:rPr>
                <w:rFonts w:ascii="Times New Roman" w:hAnsi="Times New Roman" w:cs="Times New Roman"/>
                <w:sz w:val="18"/>
                <w:szCs w:val="18"/>
              </w:rPr>
            </w:pPr>
          </w:p>
        </w:tc>
      </w:tr>
      <w:tr w:rsidR="00FE127C" w:rsidRPr="003874FD" w:rsidTr="00300E21">
        <w:trPr>
          <w:trHeight w:val="567"/>
        </w:trPr>
        <w:tc>
          <w:tcPr>
            <w:tcW w:w="1276" w:type="dxa"/>
          </w:tcPr>
          <w:p w:rsidR="00FE127C" w:rsidRPr="003874FD" w:rsidRDefault="00FE127C"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Liður 2.1.</w:t>
            </w:r>
          </w:p>
        </w:tc>
        <w:tc>
          <w:tcPr>
            <w:tcW w:w="6804" w:type="dxa"/>
            <w:tcBorders>
              <w:right w:val="nil"/>
            </w:tcBorders>
          </w:tcPr>
          <w:p w:rsidR="00FE127C" w:rsidRPr="003874FD" w:rsidRDefault="00FE127C" w:rsidP="00C555A0">
            <w:pPr>
              <w:pStyle w:val="Tflutexti"/>
              <w:rPr>
                <w:rFonts w:ascii="Times New Roman" w:hAnsi="Times New Roman" w:cs="Times New Roman"/>
                <w:sz w:val="18"/>
                <w:szCs w:val="18"/>
              </w:rPr>
            </w:pPr>
            <w:r w:rsidRPr="003874FD">
              <w:rPr>
                <w:rFonts w:ascii="Times New Roman" w:hAnsi="Times New Roman" w:cs="Times New Roman"/>
                <w:sz w:val="18"/>
                <w:szCs w:val="18"/>
              </w:rPr>
              <w:t>Upplýsingar um verðbréf</w:t>
            </w:r>
          </w:p>
        </w:tc>
        <w:tc>
          <w:tcPr>
            <w:tcW w:w="1134" w:type="dxa"/>
            <w:tcBorders>
              <w:left w:val="nil"/>
              <w:bottom w:val="single" w:sz="4" w:space="0" w:color="auto"/>
            </w:tcBorders>
          </w:tcPr>
          <w:p w:rsidR="00FE127C" w:rsidRPr="003874FD" w:rsidRDefault="00FE127C" w:rsidP="00C555A0">
            <w:pPr>
              <w:pStyle w:val="Tflutexti"/>
              <w:spacing w:line="240" w:lineRule="auto"/>
              <w:rPr>
                <w:rFonts w:ascii="Times New Roman" w:hAnsi="Times New Roman" w:cs="Times New Roman"/>
                <w:sz w:val="18"/>
                <w:szCs w:val="18"/>
              </w:rPr>
            </w:pPr>
          </w:p>
        </w:tc>
      </w:tr>
      <w:tr w:rsidR="00300E21" w:rsidRPr="003874FD" w:rsidTr="00300E21">
        <w:trPr>
          <w:trHeight w:val="567"/>
        </w:trPr>
        <w:tc>
          <w:tcPr>
            <w:tcW w:w="1276" w:type="dxa"/>
          </w:tcPr>
          <w:p w:rsidR="00300E21" w:rsidRPr="003874FD" w:rsidRDefault="00300E21"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Liður 2.1.1.</w:t>
            </w:r>
          </w:p>
        </w:tc>
        <w:tc>
          <w:tcPr>
            <w:tcW w:w="6804" w:type="dxa"/>
            <w:tcBorders>
              <w:right w:val="single" w:sz="4" w:space="0" w:color="auto"/>
            </w:tcBorders>
          </w:tcPr>
          <w:p w:rsidR="00300E21" w:rsidRPr="003874FD" w:rsidRDefault="00300E21" w:rsidP="00C555A0">
            <w:pPr>
              <w:pStyle w:val="Tflutexti"/>
              <w:rPr>
                <w:rFonts w:ascii="Times New Roman" w:hAnsi="Times New Roman" w:cs="Times New Roman"/>
                <w:sz w:val="18"/>
                <w:szCs w:val="18"/>
              </w:rPr>
            </w:pPr>
            <w:r w:rsidRPr="003874FD">
              <w:rPr>
                <w:rFonts w:ascii="Times New Roman" w:hAnsi="Times New Roman" w:cs="Times New Roman"/>
                <w:sz w:val="18"/>
                <w:szCs w:val="18"/>
              </w:rPr>
              <w:t>Skýr og ítarleg útskýring til að hjálpa fjárfestum að skilja hvernig virði undirliggjandi gernings eða gerninga hefur áhrif á virði fjárfestingar þeirra, einkum við aðstæður þar sem áhættan er augljós, nema nafnverð hverrar einingar verðbréfanna sé a.m.k. 100.000 evrur eða þau sé einungis hægt að kaupa fyrir a.m.k. 100.000 evrur á hvert verðbréf eða viðskipti með þau eigi að fara fram á skipulegum markaði eða tilteknum hluta skipulegs markaðar sem aðeins hæfir fjárfestar hafa að</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gang að.</w:t>
            </w:r>
          </w:p>
        </w:tc>
        <w:tc>
          <w:tcPr>
            <w:tcW w:w="1134" w:type="dxa"/>
            <w:tcBorders>
              <w:left w:val="single" w:sz="4" w:space="0" w:color="auto"/>
            </w:tcBorders>
          </w:tcPr>
          <w:p w:rsidR="00300E21" w:rsidRPr="003874FD" w:rsidRDefault="00300E21" w:rsidP="00C555A0">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Flokkur B</w:t>
            </w:r>
          </w:p>
        </w:tc>
      </w:tr>
      <w:tr w:rsidR="00300E21" w:rsidRPr="003874FD" w:rsidTr="00300E21">
        <w:trPr>
          <w:trHeight w:val="567"/>
        </w:trPr>
        <w:tc>
          <w:tcPr>
            <w:tcW w:w="1276" w:type="dxa"/>
          </w:tcPr>
          <w:p w:rsidR="00300E21" w:rsidRPr="003874FD" w:rsidRDefault="00300E21"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Liður 2.1.2.</w:t>
            </w:r>
          </w:p>
        </w:tc>
        <w:tc>
          <w:tcPr>
            <w:tcW w:w="6804" w:type="dxa"/>
            <w:tcBorders>
              <w:right w:val="single" w:sz="4" w:space="0" w:color="auto"/>
            </w:tcBorders>
          </w:tcPr>
          <w:p w:rsidR="00300E21" w:rsidRPr="003874FD" w:rsidRDefault="00300E21" w:rsidP="00C555A0">
            <w:pPr>
              <w:pStyle w:val="Tflutexti"/>
              <w:rPr>
                <w:rFonts w:ascii="Times New Roman" w:hAnsi="Times New Roman" w:cs="Times New Roman"/>
                <w:sz w:val="18"/>
                <w:szCs w:val="18"/>
              </w:rPr>
            </w:pPr>
            <w:r w:rsidRPr="003874FD">
              <w:rPr>
                <w:rFonts w:ascii="Times New Roman" w:hAnsi="Times New Roman" w:cs="Times New Roman"/>
                <w:sz w:val="18"/>
                <w:szCs w:val="18"/>
              </w:rPr>
              <w:t>Lokadagur eða lokagjalddagi afleiðnanna og nýtingardagur eða síðasta viðmiðunardagsetning þeirra.</w:t>
            </w:r>
          </w:p>
        </w:tc>
        <w:tc>
          <w:tcPr>
            <w:tcW w:w="1134" w:type="dxa"/>
            <w:tcBorders>
              <w:left w:val="single" w:sz="4" w:space="0" w:color="auto"/>
            </w:tcBorders>
          </w:tcPr>
          <w:p w:rsidR="00300E21" w:rsidRPr="003874FD" w:rsidRDefault="00300E21" w:rsidP="00C555A0">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tc>
      </w:tr>
      <w:tr w:rsidR="00300E21" w:rsidRPr="003874FD" w:rsidTr="00300E21">
        <w:trPr>
          <w:trHeight w:val="567"/>
        </w:trPr>
        <w:tc>
          <w:tcPr>
            <w:tcW w:w="1276" w:type="dxa"/>
          </w:tcPr>
          <w:p w:rsidR="00300E21" w:rsidRPr="003874FD" w:rsidRDefault="00300E21"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Liður 2.1.3.</w:t>
            </w:r>
          </w:p>
        </w:tc>
        <w:tc>
          <w:tcPr>
            <w:tcW w:w="6804" w:type="dxa"/>
            <w:tcBorders>
              <w:right w:val="single" w:sz="4" w:space="0" w:color="auto"/>
            </w:tcBorders>
          </w:tcPr>
          <w:p w:rsidR="00300E21" w:rsidRPr="003874FD" w:rsidRDefault="00300E21" w:rsidP="00C555A0">
            <w:pPr>
              <w:pStyle w:val="Tflutexti"/>
              <w:rPr>
                <w:rFonts w:ascii="Times New Roman" w:hAnsi="Times New Roman" w:cs="Times New Roman"/>
                <w:sz w:val="18"/>
                <w:szCs w:val="18"/>
              </w:rPr>
            </w:pPr>
            <w:r w:rsidRPr="003874FD">
              <w:rPr>
                <w:rFonts w:ascii="Times New Roman" w:hAnsi="Times New Roman" w:cs="Times New Roman"/>
                <w:sz w:val="18"/>
                <w:szCs w:val="18"/>
              </w:rPr>
              <w:t>Lýsing á uppgjörsferli afleiðnanna.</w:t>
            </w:r>
          </w:p>
        </w:tc>
        <w:tc>
          <w:tcPr>
            <w:tcW w:w="1134" w:type="dxa"/>
            <w:tcBorders>
              <w:left w:val="single" w:sz="4" w:space="0" w:color="auto"/>
            </w:tcBorders>
          </w:tcPr>
          <w:p w:rsidR="00300E21" w:rsidRPr="003874FD" w:rsidRDefault="00300E21" w:rsidP="00C555A0">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Flokkur B</w:t>
            </w:r>
          </w:p>
        </w:tc>
      </w:tr>
      <w:tr w:rsidR="00300E21" w:rsidRPr="003874FD" w:rsidTr="0020489E">
        <w:trPr>
          <w:trHeight w:val="567"/>
        </w:trPr>
        <w:tc>
          <w:tcPr>
            <w:tcW w:w="1276" w:type="dxa"/>
          </w:tcPr>
          <w:p w:rsidR="00300E21" w:rsidRPr="003874FD" w:rsidRDefault="00300E21"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Liður 2.1.4.</w:t>
            </w:r>
          </w:p>
        </w:tc>
        <w:tc>
          <w:tcPr>
            <w:tcW w:w="6804" w:type="dxa"/>
            <w:tcBorders>
              <w:right w:val="single" w:sz="4" w:space="0" w:color="auto"/>
            </w:tcBorders>
          </w:tcPr>
          <w:p w:rsidR="00300E21" w:rsidRPr="003874FD" w:rsidRDefault="00300E21"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Lýsing á:</w:t>
            </w:r>
          </w:p>
          <w:p w:rsidR="00300E21" w:rsidRPr="003874FD" w:rsidRDefault="00300E21" w:rsidP="0020489E">
            <w:pPr>
              <w:pStyle w:val="Tflutexti"/>
              <w:spacing w:after="0"/>
              <w:ind w:left="318" w:hanging="318"/>
              <w:rPr>
                <w:rFonts w:ascii="Times New Roman" w:hAnsi="Times New Roman" w:cs="Times New Roman"/>
                <w:sz w:val="18"/>
                <w:szCs w:val="18"/>
              </w:rPr>
            </w:pPr>
            <w:r w:rsidRPr="003874FD">
              <w:rPr>
                <w:rFonts w:ascii="Times New Roman" w:hAnsi="Times New Roman" w:cs="Times New Roman"/>
                <w:sz w:val="18"/>
                <w:szCs w:val="18"/>
              </w:rPr>
              <w:t>a)</w:t>
            </w:r>
            <w:r w:rsidRPr="003874FD">
              <w:rPr>
                <w:rFonts w:ascii="Times New Roman" w:hAnsi="Times New Roman" w:cs="Times New Roman"/>
                <w:sz w:val="18"/>
                <w:szCs w:val="18"/>
              </w:rPr>
              <w:tab/>
              <w:t>því með hvaða hætti hagnaður af afleiðum er greiddur út,</w:t>
            </w:r>
          </w:p>
          <w:p w:rsidR="00300E21" w:rsidRPr="003874FD" w:rsidRDefault="00300E21" w:rsidP="0020489E">
            <w:pPr>
              <w:pStyle w:val="Tflutexti"/>
              <w:spacing w:before="0" w:after="0"/>
              <w:ind w:left="318" w:hanging="318"/>
              <w:rPr>
                <w:rFonts w:ascii="Times New Roman" w:hAnsi="Times New Roman" w:cs="Times New Roman"/>
                <w:sz w:val="18"/>
                <w:szCs w:val="18"/>
              </w:rPr>
            </w:pPr>
            <w:r w:rsidRPr="003874FD">
              <w:rPr>
                <w:rFonts w:ascii="Times New Roman" w:hAnsi="Times New Roman" w:cs="Times New Roman"/>
                <w:sz w:val="18"/>
                <w:szCs w:val="18"/>
              </w:rPr>
              <w:t>b)</w:t>
            </w:r>
            <w:r w:rsidRPr="003874FD">
              <w:rPr>
                <w:rFonts w:ascii="Times New Roman" w:hAnsi="Times New Roman" w:cs="Times New Roman"/>
                <w:sz w:val="18"/>
                <w:szCs w:val="18"/>
              </w:rPr>
              <w:tab/>
              <w:t>greiðsludegi eða afhendingardegi,</w:t>
            </w:r>
          </w:p>
          <w:p w:rsidR="00300E21" w:rsidRPr="003874FD" w:rsidRDefault="00300E21" w:rsidP="0020489E">
            <w:pPr>
              <w:pStyle w:val="Tflutexti"/>
              <w:spacing w:before="0"/>
              <w:ind w:left="318" w:hanging="318"/>
              <w:rPr>
                <w:rFonts w:ascii="Times New Roman" w:hAnsi="Times New Roman" w:cs="Times New Roman"/>
                <w:sz w:val="18"/>
                <w:szCs w:val="18"/>
              </w:rPr>
            </w:pPr>
            <w:r w:rsidRPr="003874FD">
              <w:rPr>
                <w:rFonts w:ascii="Times New Roman" w:hAnsi="Times New Roman" w:cs="Times New Roman"/>
                <w:sz w:val="18"/>
                <w:szCs w:val="18"/>
              </w:rPr>
              <w:t>c)</w:t>
            </w:r>
            <w:r w:rsidRPr="003874FD">
              <w:rPr>
                <w:rFonts w:ascii="Times New Roman" w:hAnsi="Times New Roman" w:cs="Times New Roman"/>
                <w:sz w:val="18"/>
                <w:szCs w:val="18"/>
              </w:rPr>
              <w:tab/>
              <w:t>aðferð við útreikning.</w:t>
            </w:r>
          </w:p>
        </w:tc>
        <w:tc>
          <w:tcPr>
            <w:tcW w:w="1134" w:type="dxa"/>
            <w:tcBorders>
              <w:left w:val="single" w:sz="4" w:space="0" w:color="auto"/>
              <w:bottom w:val="single" w:sz="4" w:space="0" w:color="auto"/>
            </w:tcBorders>
          </w:tcPr>
          <w:p w:rsidR="00300E21" w:rsidRPr="003874FD" w:rsidRDefault="00300E21" w:rsidP="00C555A0">
            <w:pPr>
              <w:pStyle w:val="Tflutexti"/>
              <w:spacing w:line="240" w:lineRule="auto"/>
              <w:rPr>
                <w:rFonts w:ascii="Times New Roman" w:hAnsi="Times New Roman" w:cs="Times New Roman"/>
                <w:sz w:val="18"/>
                <w:szCs w:val="18"/>
              </w:rPr>
            </w:pPr>
          </w:p>
          <w:p w:rsidR="00300E21" w:rsidRPr="003874FD" w:rsidRDefault="00300E21" w:rsidP="00300E21">
            <w:pPr>
              <w:pStyle w:val="Tflutexti"/>
              <w:spacing w:after="0" w:line="240" w:lineRule="auto"/>
              <w:rPr>
                <w:rFonts w:ascii="Times New Roman" w:hAnsi="Times New Roman" w:cs="Times New Roman"/>
                <w:sz w:val="18"/>
                <w:szCs w:val="18"/>
              </w:rPr>
            </w:pPr>
            <w:r w:rsidRPr="003874FD">
              <w:rPr>
                <w:rFonts w:ascii="Times New Roman" w:hAnsi="Times New Roman" w:cs="Times New Roman"/>
                <w:sz w:val="18"/>
                <w:szCs w:val="18"/>
              </w:rPr>
              <w:t>Flokkur B</w:t>
            </w:r>
          </w:p>
          <w:p w:rsidR="00300E21" w:rsidRPr="003874FD" w:rsidRDefault="00300E21" w:rsidP="00300E21">
            <w:pPr>
              <w:pStyle w:val="Tflutexti"/>
              <w:spacing w:before="0" w:after="0" w:line="240" w:lineRule="auto"/>
              <w:rPr>
                <w:rFonts w:ascii="Times New Roman" w:hAnsi="Times New Roman" w:cs="Times New Roman"/>
                <w:sz w:val="18"/>
                <w:szCs w:val="18"/>
              </w:rPr>
            </w:pPr>
            <w:r w:rsidRPr="003874FD">
              <w:rPr>
                <w:rFonts w:ascii="Times New Roman" w:hAnsi="Times New Roman" w:cs="Times New Roman"/>
                <w:sz w:val="18"/>
                <w:szCs w:val="18"/>
              </w:rPr>
              <w:t>Flokkur</w:t>
            </w:r>
            <w:r w:rsidR="0022097D" w:rsidRPr="003874FD">
              <w:rPr>
                <w:rFonts w:ascii="Times New Roman" w:hAnsi="Times New Roman" w:cs="Times New Roman"/>
                <w:sz w:val="18"/>
                <w:szCs w:val="18"/>
              </w:rPr>
              <w:t xml:space="preserve"> </w:t>
            </w:r>
            <w:r w:rsidRPr="003874FD">
              <w:rPr>
                <w:rFonts w:ascii="Times New Roman" w:hAnsi="Times New Roman" w:cs="Times New Roman"/>
                <w:sz w:val="18"/>
                <w:szCs w:val="18"/>
              </w:rPr>
              <w:t>C</w:t>
            </w:r>
          </w:p>
          <w:p w:rsidR="00300E21" w:rsidRPr="003874FD" w:rsidRDefault="00300E21" w:rsidP="00300E21">
            <w:pPr>
              <w:pStyle w:val="Tflutexti"/>
              <w:spacing w:before="0" w:after="0" w:line="240" w:lineRule="auto"/>
              <w:rPr>
                <w:rFonts w:ascii="Times New Roman" w:hAnsi="Times New Roman" w:cs="Times New Roman"/>
                <w:sz w:val="18"/>
                <w:szCs w:val="18"/>
              </w:rPr>
            </w:pPr>
            <w:r w:rsidRPr="003874FD">
              <w:rPr>
                <w:rFonts w:ascii="Times New Roman" w:hAnsi="Times New Roman" w:cs="Times New Roman"/>
                <w:sz w:val="18"/>
                <w:szCs w:val="18"/>
              </w:rPr>
              <w:t>Flokkur B</w:t>
            </w:r>
          </w:p>
        </w:tc>
      </w:tr>
      <w:tr w:rsidR="0020489E" w:rsidRPr="003874FD" w:rsidTr="0020489E">
        <w:trPr>
          <w:trHeight w:val="567"/>
        </w:trPr>
        <w:tc>
          <w:tcPr>
            <w:tcW w:w="1276" w:type="dxa"/>
          </w:tcPr>
          <w:p w:rsidR="0020489E" w:rsidRPr="003874FD" w:rsidRDefault="0020489E"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Liður 2.2.</w:t>
            </w:r>
          </w:p>
        </w:tc>
        <w:tc>
          <w:tcPr>
            <w:tcW w:w="6804" w:type="dxa"/>
            <w:tcBorders>
              <w:right w:val="nil"/>
            </w:tcBorders>
          </w:tcPr>
          <w:p w:rsidR="0020489E" w:rsidRPr="003874FD" w:rsidRDefault="0020489E"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Upplýsingar um undirliggjandi þætti</w:t>
            </w:r>
          </w:p>
        </w:tc>
        <w:tc>
          <w:tcPr>
            <w:tcW w:w="1134" w:type="dxa"/>
            <w:tcBorders>
              <w:left w:val="nil"/>
            </w:tcBorders>
          </w:tcPr>
          <w:p w:rsidR="0020489E" w:rsidRPr="003874FD" w:rsidRDefault="0020489E" w:rsidP="00C555A0">
            <w:pPr>
              <w:pStyle w:val="Tflutexti"/>
              <w:spacing w:line="240" w:lineRule="auto"/>
              <w:rPr>
                <w:rFonts w:ascii="Times New Roman" w:hAnsi="Times New Roman" w:cs="Times New Roman"/>
                <w:sz w:val="18"/>
                <w:szCs w:val="18"/>
              </w:rPr>
            </w:pPr>
          </w:p>
        </w:tc>
      </w:tr>
      <w:tr w:rsidR="0020489E" w:rsidRPr="003874FD" w:rsidTr="00300E21">
        <w:trPr>
          <w:trHeight w:val="567"/>
        </w:trPr>
        <w:tc>
          <w:tcPr>
            <w:tcW w:w="1276" w:type="dxa"/>
          </w:tcPr>
          <w:p w:rsidR="0020489E" w:rsidRPr="003874FD" w:rsidRDefault="0020489E"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Liður 2.2.1.</w:t>
            </w:r>
          </w:p>
        </w:tc>
        <w:tc>
          <w:tcPr>
            <w:tcW w:w="6804" w:type="dxa"/>
            <w:tcBorders>
              <w:right w:val="single" w:sz="4" w:space="0" w:color="auto"/>
            </w:tcBorders>
          </w:tcPr>
          <w:p w:rsidR="0020489E" w:rsidRPr="003874FD" w:rsidRDefault="0020489E"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Nýtingarverð eða lokaviðmiðunarverð undirliggjandi þáttar.</w:t>
            </w:r>
          </w:p>
        </w:tc>
        <w:tc>
          <w:tcPr>
            <w:tcW w:w="1134" w:type="dxa"/>
            <w:tcBorders>
              <w:left w:val="single" w:sz="4" w:space="0" w:color="auto"/>
            </w:tcBorders>
          </w:tcPr>
          <w:p w:rsidR="0020489E" w:rsidRPr="003874FD" w:rsidRDefault="0020489E" w:rsidP="00C555A0">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tc>
      </w:tr>
      <w:tr w:rsidR="0020489E" w:rsidRPr="003874FD" w:rsidTr="00300E21">
        <w:trPr>
          <w:trHeight w:val="567"/>
        </w:trPr>
        <w:tc>
          <w:tcPr>
            <w:tcW w:w="1276" w:type="dxa"/>
          </w:tcPr>
          <w:p w:rsidR="0020489E" w:rsidRPr="003874FD" w:rsidRDefault="0020489E"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Liður 2.2.2.</w:t>
            </w:r>
          </w:p>
        </w:tc>
        <w:tc>
          <w:tcPr>
            <w:tcW w:w="6804" w:type="dxa"/>
            <w:tcBorders>
              <w:right w:val="single" w:sz="4" w:space="0" w:color="auto"/>
            </w:tcBorders>
          </w:tcPr>
          <w:p w:rsidR="0020489E" w:rsidRPr="003874FD" w:rsidRDefault="0020489E" w:rsidP="0020489E">
            <w:pPr>
              <w:pStyle w:val="Tflutexti"/>
              <w:rPr>
                <w:rFonts w:ascii="Times New Roman" w:hAnsi="Times New Roman" w:cs="Times New Roman"/>
                <w:sz w:val="18"/>
                <w:szCs w:val="18"/>
              </w:rPr>
            </w:pPr>
            <w:r w:rsidRPr="003874FD">
              <w:rPr>
                <w:rFonts w:ascii="Times New Roman" w:hAnsi="Times New Roman" w:cs="Times New Roman"/>
                <w:sz w:val="18"/>
                <w:szCs w:val="18"/>
              </w:rPr>
              <w:t>Yfirlýsing sem tilgreinir tegund undirliggjandi þáttar.</w:t>
            </w:r>
          </w:p>
          <w:p w:rsidR="0020489E" w:rsidRPr="003874FD" w:rsidRDefault="0020489E" w:rsidP="0020489E">
            <w:pPr>
              <w:pStyle w:val="Tflutexti"/>
              <w:rPr>
                <w:rFonts w:ascii="Times New Roman" w:hAnsi="Times New Roman" w:cs="Times New Roman"/>
                <w:sz w:val="18"/>
                <w:szCs w:val="18"/>
              </w:rPr>
            </w:pPr>
            <w:r w:rsidRPr="003874FD">
              <w:rPr>
                <w:rFonts w:ascii="Times New Roman" w:hAnsi="Times New Roman" w:cs="Times New Roman"/>
                <w:sz w:val="18"/>
                <w:szCs w:val="18"/>
              </w:rPr>
              <w:t>Tilgreina skal hvar má nálgast upplýsingar um undirliggjandi þátt, þ.m.t. upplýsingar um fyrri árangur og framtíðarárangur undirliggjandi þáttar og flökt hans með rafrænum hætti og hvort hægt sé að nálgast þær ókeypis.</w:t>
            </w:r>
          </w:p>
          <w:p w:rsidR="0020489E" w:rsidRPr="003874FD" w:rsidRDefault="0020489E" w:rsidP="0020489E">
            <w:pPr>
              <w:pStyle w:val="Tflutexti"/>
              <w:rPr>
                <w:rFonts w:ascii="Times New Roman" w:hAnsi="Times New Roman" w:cs="Times New Roman"/>
                <w:sz w:val="18"/>
                <w:szCs w:val="18"/>
              </w:rPr>
            </w:pPr>
            <w:r w:rsidRPr="003874FD">
              <w:rPr>
                <w:rFonts w:ascii="Times New Roman" w:hAnsi="Times New Roman" w:cs="Times New Roman"/>
                <w:sz w:val="18"/>
                <w:szCs w:val="18"/>
              </w:rPr>
              <w:t>Ef undirliggjandi þáttur er verðbréf:</w:t>
            </w:r>
          </w:p>
          <w:p w:rsidR="0020489E" w:rsidRPr="003874FD" w:rsidRDefault="0020489E" w:rsidP="0020489E">
            <w:pPr>
              <w:pStyle w:val="Tflutexti"/>
              <w:spacing w:after="0"/>
              <w:ind w:left="318" w:hanging="318"/>
              <w:rPr>
                <w:rFonts w:ascii="Times New Roman" w:hAnsi="Times New Roman" w:cs="Times New Roman"/>
                <w:sz w:val="18"/>
                <w:szCs w:val="18"/>
              </w:rPr>
            </w:pPr>
            <w:r w:rsidRPr="003874FD">
              <w:rPr>
                <w:rFonts w:ascii="Times New Roman" w:hAnsi="Times New Roman" w:cs="Times New Roman"/>
                <w:sz w:val="18"/>
                <w:szCs w:val="18"/>
              </w:rPr>
              <w:lastRenderedPageBreak/>
              <w:t>a)</w:t>
            </w:r>
            <w:r w:rsidRPr="003874FD">
              <w:rPr>
                <w:rFonts w:ascii="Times New Roman" w:hAnsi="Times New Roman" w:cs="Times New Roman"/>
                <w:sz w:val="18"/>
                <w:szCs w:val="18"/>
              </w:rPr>
              <w:tab/>
              <w:t>nafn útgefanda verðbréfsins,</w:t>
            </w:r>
          </w:p>
          <w:p w:rsidR="0020489E" w:rsidRPr="003874FD" w:rsidRDefault="0020489E" w:rsidP="0020489E">
            <w:pPr>
              <w:pStyle w:val="Tflutexti"/>
              <w:spacing w:before="0"/>
              <w:ind w:left="318" w:hanging="318"/>
              <w:rPr>
                <w:rFonts w:ascii="Times New Roman" w:hAnsi="Times New Roman" w:cs="Times New Roman"/>
                <w:sz w:val="18"/>
                <w:szCs w:val="18"/>
              </w:rPr>
            </w:pPr>
            <w:r w:rsidRPr="003874FD">
              <w:rPr>
                <w:rFonts w:ascii="Times New Roman" w:hAnsi="Times New Roman" w:cs="Times New Roman"/>
                <w:sz w:val="18"/>
                <w:szCs w:val="18"/>
              </w:rPr>
              <w:t>b)</w:t>
            </w:r>
            <w:r w:rsidRPr="003874FD">
              <w:rPr>
                <w:rFonts w:ascii="Times New Roman" w:hAnsi="Times New Roman" w:cs="Times New Roman"/>
                <w:sz w:val="18"/>
                <w:szCs w:val="18"/>
              </w:rPr>
              <w:tab/>
              <w:t>alþjóðlegt auðkennisnúmer verðbréfa (ISIN-númer),</w:t>
            </w:r>
          </w:p>
          <w:p w:rsidR="0020489E" w:rsidRPr="003874FD" w:rsidRDefault="0020489E" w:rsidP="0020489E">
            <w:pPr>
              <w:pStyle w:val="Tflutexti"/>
              <w:rPr>
                <w:rFonts w:ascii="Times New Roman" w:hAnsi="Times New Roman" w:cs="Times New Roman"/>
                <w:sz w:val="18"/>
                <w:szCs w:val="18"/>
              </w:rPr>
            </w:pPr>
            <w:r w:rsidRPr="003874FD">
              <w:rPr>
                <w:rFonts w:ascii="Times New Roman" w:hAnsi="Times New Roman" w:cs="Times New Roman"/>
                <w:sz w:val="18"/>
                <w:szCs w:val="18"/>
              </w:rPr>
              <w:t>Ef undirliggjandi þáttur er viðmiðunaraðili eða viðmiðunarskuldbinding (fyrir lánshæfistengd verð</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bréf):</w:t>
            </w:r>
          </w:p>
          <w:p w:rsidR="0020489E" w:rsidRPr="003874FD" w:rsidRDefault="0020489E" w:rsidP="0020489E">
            <w:pPr>
              <w:pStyle w:val="Tflutexti"/>
              <w:spacing w:after="0"/>
              <w:ind w:left="318" w:hanging="318"/>
              <w:rPr>
                <w:rFonts w:ascii="Times New Roman" w:hAnsi="Times New Roman" w:cs="Times New Roman"/>
                <w:sz w:val="18"/>
                <w:szCs w:val="18"/>
              </w:rPr>
            </w:pPr>
            <w:r w:rsidRPr="003874FD">
              <w:rPr>
                <w:rFonts w:ascii="Times New Roman" w:hAnsi="Times New Roman" w:cs="Times New Roman"/>
                <w:sz w:val="18"/>
                <w:szCs w:val="18"/>
              </w:rPr>
              <w:t>a)</w:t>
            </w:r>
            <w:r w:rsidRPr="003874FD">
              <w:rPr>
                <w:rFonts w:ascii="Times New Roman" w:hAnsi="Times New Roman" w:cs="Times New Roman"/>
                <w:sz w:val="18"/>
                <w:szCs w:val="18"/>
              </w:rPr>
              <w:tab/>
              <w:t>ef viðmiðunaraðilinn eða viðmiðunarskuldbindingin samanstendur af einum aðila eða skuld</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bindingu, eða ef um er að ræða safn undirliggjandi þátta þar sem einn viðmiðunaraðili eða ein viðmiðunarskuldbinding samsvarar 20% eða meira af safninu:</w:t>
            </w:r>
          </w:p>
          <w:p w:rsidR="0020489E" w:rsidRPr="003874FD" w:rsidRDefault="0020489E" w:rsidP="0020489E">
            <w:pPr>
              <w:pStyle w:val="Tflutexti"/>
              <w:spacing w:before="0" w:after="0"/>
              <w:ind w:left="602" w:hanging="284"/>
              <w:rPr>
                <w:rFonts w:ascii="Times New Roman" w:hAnsi="Times New Roman" w:cs="Times New Roman"/>
                <w:sz w:val="18"/>
                <w:szCs w:val="18"/>
              </w:rPr>
            </w:pPr>
            <w:r w:rsidRPr="003874FD">
              <w:rPr>
                <w:rFonts w:ascii="Times New Roman" w:hAnsi="Times New Roman" w:cs="Times New Roman"/>
                <w:sz w:val="18"/>
                <w:szCs w:val="18"/>
              </w:rPr>
              <w:t>i.</w:t>
            </w:r>
            <w:r w:rsidRPr="003874FD">
              <w:rPr>
                <w:rFonts w:ascii="Times New Roman" w:hAnsi="Times New Roman" w:cs="Times New Roman"/>
                <w:sz w:val="18"/>
                <w:szCs w:val="18"/>
              </w:rPr>
              <w:tab/>
              <w:t>hafi engin verðbréf viðmiðunaraðila (eða útgefanda viðmiðunarskuldbindingar) verið tekin til viðskipta á skipulegum markaði, jafngildum markaði þriðja lands eða vaxtar</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markaði lítilla og meðalstórra fyrirtækja, að því er útgefanda er kunnugt um og/eða hann getur ráðið af upplýsingum sem viðmiðunaraðilinn (eða útgefandi viðmiðunarskuldbind</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ingarinnar) hefur birt, skal veita upplýsingar um viðmiðunaraðilann (eða útgefanda við</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miðunarskuldbindingarinnar) eins og hann væri útgefandi (í samræmi við útgefanda</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lýsinguna fyrir verðbréf í heildsölu sem ekki eru hlutabréfatengd),</w:t>
            </w:r>
          </w:p>
          <w:p w:rsidR="0020489E" w:rsidRPr="003874FD" w:rsidRDefault="0020489E" w:rsidP="0020489E">
            <w:pPr>
              <w:pStyle w:val="Tflutexti"/>
              <w:spacing w:before="0" w:after="0"/>
              <w:ind w:left="602" w:hanging="284"/>
              <w:rPr>
                <w:rFonts w:ascii="Times New Roman" w:hAnsi="Times New Roman" w:cs="Times New Roman"/>
                <w:sz w:val="18"/>
                <w:szCs w:val="18"/>
              </w:rPr>
            </w:pPr>
            <w:proofErr w:type="spellStart"/>
            <w:r w:rsidRPr="003874FD">
              <w:rPr>
                <w:rFonts w:ascii="Times New Roman" w:hAnsi="Times New Roman" w:cs="Times New Roman"/>
                <w:sz w:val="18"/>
                <w:szCs w:val="18"/>
              </w:rPr>
              <w:t>ii</w:t>
            </w:r>
            <w:proofErr w:type="spellEnd"/>
            <w:r w:rsidRPr="003874FD">
              <w:rPr>
                <w:rFonts w:ascii="Times New Roman" w:hAnsi="Times New Roman" w:cs="Times New Roman"/>
                <w:sz w:val="18"/>
                <w:szCs w:val="18"/>
              </w:rPr>
              <w:t>.</w:t>
            </w:r>
            <w:r w:rsidRPr="003874FD">
              <w:rPr>
                <w:rFonts w:ascii="Times New Roman" w:hAnsi="Times New Roman" w:cs="Times New Roman"/>
                <w:sz w:val="18"/>
                <w:szCs w:val="18"/>
              </w:rPr>
              <w:tab/>
              <w:t>hafi einhver verðbréf viðmiðunaraðila (eða útgefanda viðmiðunarskuldbindingar) þegar verið tekin til viðskipta á skipulegum markaði, jafngildum markaði þriðja lands eða vaxtarmarkaði lítilla og meðalstórra fyrirtækja, að því er útgefanda er kunnugt um og/eða hann getur ráðið af upplýsingum sem viðmiðunaraðilinn (eða útgefandi við</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miðunarskuldbindingarinnar) hefur birt, skal tilgreina heiti hans, ISIN-númer, heimilis</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fang, skráningarland, atvinnugrein eða -greinar viðmiðunaraðila (eða útgefanda við</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miðunarskuldbindingar) og heiti markaðar þar sem verðbréfin hafa verið tekin til við</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skipta.</w:t>
            </w:r>
          </w:p>
          <w:p w:rsidR="0020489E" w:rsidRPr="003874FD" w:rsidRDefault="0020489E" w:rsidP="0020489E">
            <w:pPr>
              <w:pStyle w:val="Tflutexti"/>
              <w:spacing w:before="0" w:after="0"/>
              <w:ind w:left="318" w:hanging="318"/>
              <w:rPr>
                <w:rFonts w:ascii="Times New Roman" w:hAnsi="Times New Roman" w:cs="Times New Roman"/>
                <w:sz w:val="18"/>
                <w:szCs w:val="18"/>
              </w:rPr>
            </w:pPr>
            <w:r w:rsidRPr="003874FD">
              <w:rPr>
                <w:rFonts w:ascii="Times New Roman" w:hAnsi="Times New Roman" w:cs="Times New Roman"/>
                <w:sz w:val="18"/>
                <w:szCs w:val="18"/>
              </w:rPr>
              <w:t>b)</w:t>
            </w:r>
            <w:r w:rsidRPr="003874FD">
              <w:rPr>
                <w:rFonts w:ascii="Times New Roman" w:hAnsi="Times New Roman" w:cs="Times New Roman"/>
                <w:sz w:val="18"/>
                <w:szCs w:val="18"/>
              </w:rPr>
              <w:tab/>
              <w:t>sé um að ræða safn undirliggjandi þátta þar sem einn viðmiðunaraðili eða viðmiðunarskuld</w:t>
            </w:r>
            <w:r w:rsidR="003A68A0" w:rsidRPr="003874FD">
              <w:rPr>
                <w:rFonts w:ascii="Times New Roman" w:hAnsi="Times New Roman" w:cs="Times New Roman"/>
                <w:sz w:val="18"/>
                <w:szCs w:val="18"/>
              </w:rPr>
              <w:softHyphen/>
            </w:r>
            <w:r w:rsidRPr="003874FD">
              <w:rPr>
                <w:rFonts w:ascii="Times New Roman" w:hAnsi="Times New Roman" w:cs="Times New Roman"/>
                <w:sz w:val="18"/>
                <w:szCs w:val="18"/>
              </w:rPr>
              <w:t>binding samsvarar minna en 20% af safninu:</w:t>
            </w:r>
          </w:p>
          <w:p w:rsidR="0020489E" w:rsidRPr="003874FD" w:rsidRDefault="0020489E" w:rsidP="00E31A76">
            <w:pPr>
              <w:pStyle w:val="Tflutexti"/>
              <w:spacing w:before="0" w:after="0"/>
              <w:ind w:left="602" w:hanging="284"/>
              <w:rPr>
                <w:rFonts w:ascii="Times New Roman" w:hAnsi="Times New Roman" w:cs="Times New Roman"/>
                <w:sz w:val="18"/>
                <w:szCs w:val="18"/>
              </w:rPr>
            </w:pPr>
            <w:r w:rsidRPr="003874FD">
              <w:rPr>
                <w:rFonts w:ascii="Times New Roman" w:hAnsi="Times New Roman" w:cs="Times New Roman"/>
                <w:sz w:val="18"/>
                <w:szCs w:val="18"/>
              </w:rPr>
              <w:t>i.</w:t>
            </w:r>
            <w:r w:rsidRPr="003874FD">
              <w:rPr>
                <w:rFonts w:ascii="Times New Roman" w:hAnsi="Times New Roman" w:cs="Times New Roman"/>
                <w:sz w:val="18"/>
                <w:szCs w:val="18"/>
              </w:rPr>
              <w:tab/>
              <w:t>nöfn viðmiðunaraðilanna eða útgefanda viðmiðunarskuldbindinganna og</w:t>
            </w:r>
          </w:p>
          <w:p w:rsidR="0020489E" w:rsidRPr="003874FD" w:rsidRDefault="0020489E" w:rsidP="00E31A76">
            <w:pPr>
              <w:pStyle w:val="Tflutexti"/>
              <w:spacing w:before="0" w:after="0"/>
              <w:ind w:left="602" w:hanging="284"/>
              <w:rPr>
                <w:rFonts w:ascii="Times New Roman" w:hAnsi="Times New Roman" w:cs="Times New Roman"/>
                <w:sz w:val="18"/>
                <w:szCs w:val="18"/>
              </w:rPr>
            </w:pPr>
            <w:proofErr w:type="spellStart"/>
            <w:r w:rsidRPr="003874FD">
              <w:rPr>
                <w:rFonts w:ascii="Times New Roman" w:hAnsi="Times New Roman" w:cs="Times New Roman"/>
                <w:sz w:val="18"/>
                <w:szCs w:val="18"/>
              </w:rPr>
              <w:t>ii</w:t>
            </w:r>
            <w:proofErr w:type="spellEnd"/>
            <w:r w:rsidRPr="003874FD">
              <w:rPr>
                <w:rFonts w:ascii="Times New Roman" w:hAnsi="Times New Roman" w:cs="Times New Roman"/>
                <w:sz w:val="18"/>
                <w:szCs w:val="18"/>
              </w:rPr>
              <w:t>.</w:t>
            </w:r>
            <w:r w:rsidRPr="003874FD">
              <w:rPr>
                <w:rFonts w:ascii="Times New Roman" w:hAnsi="Times New Roman" w:cs="Times New Roman"/>
                <w:sz w:val="18"/>
                <w:szCs w:val="18"/>
              </w:rPr>
              <w:tab/>
              <w:t>ISIN-númerið.</w:t>
            </w:r>
          </w:p>
          <w:p w:rsidR="0020489E" w:rsidRPr="003874FD" w:rsidRDefault="0020489E" w:rsidP="0020489E">
            <w:pPr>
              <w:pStyle w:val="Tflutexti"/>
              <w:rPr>
                <w:rFonts w:ascii="Times New Roman" w:hAnsi="Times New Roman" w:cs="Times New Roman"/>
                <w:sz w:val="18"/>
                <w:szCs w:val="18"/>
              </w:rPr>
            </w:pPr>
            <w:r w:rsidRPr="003874FD">
              <w:rPr>
                <w:rFonts w:ascii="Times New Roman" w:hAnsi="Times New Roman" w:cs="Times New Roman"/>
                <w:sz w:val="18"/>
                <w:szCs w:val="18"/>
              </w:rPr>
              <w:t>Ef undirliggjandi þáttur er vísitala:</w:t>
            </w:r>
          </w:p>
          <w:p w:rsidR="0020489E" w:rsidRPr="003874FD" w:rsidRDefault="0020489E" w:rsidP="00E31A76">
            <w:pPr>
              <w:pStyle w:val="Tflutexti"/>
              <w:spacing w:before="0" w:after="0"/>
              <w:ind w:left="318" w:hanging="318"/>
              <w:rPr>
                <w:rFonts w:ascii="Times New Roman" w:hAnsi="Times New Roman" w:cs="Times New Roman"/>
                <w:sz w:val="18"/>
                <w:szCs w:val="18"/>
              </w:rPr>
            </w:pPr>
            <w:r w:rsidRPr="003874FD">
              <w:rPr>
                <w:rFonts w:ascii="Times New Roman" w:hAnsi="Times New Roman" w:cs="Times New Roman"/>
                <w:sz w:val="18"/>
                <w:szCs w:val="18"/>
              </w:rPr>
              <w:t>a)</w:t>
            </w:r>
            <w:r w:rsidRPr="003874FD">
              <w:rPr>
                <w:rFonts w:ascii="Times New Roman" w:hAnsi="Times New Roman" w:cs="Times New Roman"/>
                <w:sz w:val="18"/>
                <w:szCs w:val="18"/>
              </w:rPr>
              <w:tab/>
              <w:t>heiti vísitölu,</w:t>
            </w:r>
          </w:p>
          <w:p w:rsidR="0020489E" w:rsidRPr="003874FD" w:rsidRDefault="0020489E" w:rsidP="00E31A76">
            <w:pPr>
              <w:pStyle w:val="Tflutexti"/>
              <w:spacing w:before="0" w:after="0"/>
              <w:ind w:left="318" w:hanging="318"/>
              <w:rPr>
                <w:rFonts w:ascii="Times New Roman" w:hAnsi="Times New Roman" w:cs="Times New Roman"/>
                <w:sz w:val="18"/>
                <w:szCs w:val="18"/>
              </w:rPr>
            </w:pPr>
            <w:r w:rsidRPr="003874FD">
              <w:rPr>
                <w:rFonts w:ascii="Times New Roman" w:hAnsi="Times New Roman" w:cs="Times New Roman"/>
                <w:sz w:val="18"/>
                <w:szCs w:val="18"/>
              </w:rPr>
              <w:t>b)</w:t>
            </w:r>
            <w:r w:rsidRPr="003874FD">
              <w:rPr>
                <w:rFonts w:ascii="Times New Roman" w:hAnsi="Times New Roman" w:cs="Times New Roman"/>
                <w:sz w:val="18"/>
                <w:szCs w:val="18"/>
              </w:rPr>
              <w:tab/>
              <w:t>lýsing á vísitölunni ef hún er sett saman af útgefandanum eða lögaðila sem tilheyrir sömu samstæðu,</w:t>
            </w:r>
          </w:p>
          <w:p w:rsidR="0020489E" w:rsidRPr="003874FD" w:rsidRDefault="0020489E" w:rsidP="00E31A76">
            <w:pPr>
              <w:pStyle w:val="Tflutexti"/>
              <w:spacing w:before="0" w:after="0"/>
              <w:ind w:left="318" w:hanging="318"/>
              <w:rPr>
                <w:rFonts w:ascii="Times New Roman" w:hAnsi="Times New Roman" w:cs="Times New Roman"/>
                <w:sz w:val="18"/>
                <w:szCs w:val="18"/>
              </w:rPr>
            </w:pPr>
            <w:r w:rsidRPr="003874FD">
              <w:rPr>
                <w:rFonts w:ascii="Times New Roman" w:hAnsi="Times New Roman" w:cs="Times New Roman"/>
                <w:sz w:val="18"/>
                <w:szCs w:val="18"/>
              </w:rPr>
              <w:t>c)</w:t>
            </w:r>
            <w:r w:rsidRPr="003874FD">
              <w:rPr>
                <w:rFonts w:ascii="Times New Roman" w:hAnsi="Times New Roman" w:cs="Times New Roman"/>
                <w:sz w:val="18"/>
                <w:szCs w:val="18"/>
              </w:rPr>
              <w:tab/>
              <w:t>lýsing á vísitölunni sem lögaðili eða einstaklingur sem kemur fram fyrir hönd eða í samvinnu við útgefanda, heldur úti, nema lýsingin feli í sér eftirfarandi yfirlýsingar:</w:t>
            </w:r>
          </w:p>
          <w:p w:rsidR="0020489E" w:rsidRPr="003874FD" w:rsidRDefault="0020489E" w:rsidP="00E31A76">
            <w:pPr>
              <w:pStyle w:val="Tflutexti"/>
              <w:spacing w:before="0" w:after="0"/>
              <w:ind w:left="602" w:hanging="318"/>
              <w:rPr>
                <w:rFonts w:ascii="Times New Roman" w:hAnsi="Times New Roman" w:cs="Times New Roman"/>
                <w:sz w:val="18"/>
                <w:szCs w:val="18"/>
              </w:rPr>
            </w:pPr>
            <w:r w:rsidRPr="003874FD">
              <w:rPr>
                <w:rFonts w:ascii="Times New Roman" w:hAnsi="Times New Roman" w:cs="Times New Roman"/>
                <w:sz w:val="18"/>
                <w:szCs w:val="18"/>
              </w:rPr>
              <w:t>i.</w:t>
            </w:r>
            <w:r w:rsidRPr="003874FD">
              <w:rPr>
                <w:rFonts w:ascii="Times New Roman" w:hAnsi="Times New Roman" w:cs="Times New Roman"/>
                <w:sz w:val="18"/>
                <w:szCs w:val="18"/>
              </w:rPr>
              <w:tab/>
              <w:t>að allar reglur um vísitöluna og upplýsingar um þróun hennar séu aðgengilegar á vefsetri útgefandans eða þess sem heldur úti vísitölunni,</w:t>
            </w:r>
          </w:p>
          <w:p w:rsidR="0020489E" w:rsidRPr="003874FD" w:rsidRDefault="0020489E" w:rsidP="00E31A76">
            <w:pPr>
              <w:pStyle w:val="Tflutexti"/>
              <w:spacing w:before="0"/>
              <w:ind w:left="602" w:hanging="318"/>
              <w:rPr>
                <w:rFonts w:ascii="Times New Roman" w:hAnsi="Times New Roman" w:cs="Times New Roman"/>
                <w:sz w:val="18"/>
                <w:szCs w:val="18"/>
              </w:rPr>
            </w:pPr>
            <w:proofErr w:type="spellStart"/>
            <w:r w:rsidRPr="003874FD">
              <w:rPr>
                <w:rFonts w:ascii="Times New Roman" w:hAnsi="Times New Roman" w:cs="Times New Roman"/>
                <w:sz w:val="18"/>
                <w:szCs w:val="18"/>
              </w:rPr>
              <w:t>ii</w:t>
            </w:r>
            <w:proofErr w:type="spellEnd"/>
            <w:r w:rsidRPr="003874FD">
              <w:rPr>
                <w:rFonts w:ascii="Times New Roman" w:hAnsi="Times New Roman" w:cs="Times New Roman"/>
                <w:sz w:val="18"/>
                <w:szCs w:val="18"/>
              </w:rPr>
              <w:t>.</w:t>
            </w:r>
            <w:r w:rsidRPr="003874FD">
              <w:rPr>
                <w:rFonts w:ascii="Times New Roman" w:hAnsi="Times New Roman" w:cs="Times New Roman"/>
                <w:sz w:val="18"/>
                <w:szCs w:val="18"/>
              </w:rPr>
              <w:tab/>
              <w:t>að gildandi reglur (þ.m.t. aðferðafræði vísitölunnar við val og endurstillingu á þáttum vísitölunnar, lýsing á atburðum sem valda markaðsröskun og leiðréttingarreglur) byggist á fyrirfram ákveðnum og hlutlægum viðmiðum,</w:t>
            </w:r>
          </w:p>
          <w:p w:rsidR="0020489E" w:rsidRPr="003874FD" w:rsidRDefault="0020489E" w:rsidP="00E31A76">
            <w:pPr>
              <w:pStyle w:val="Tflutexti"/>
              <w:rPr>
                <w:rFonts w:ascii="Times New Roman" w:hAnsi="Times New Roman" w:cs="Times New Roman"/>
                <w:sz w:val="18"/>
                <w:szCs w:val="18"/>
              </w:rPr>
            </w:pPr>
            <w:r w:rsidRPr="003874FD">
              <w:rPr>
                <w:rFonts w:ascii="Times New Roman" w:hAnsi="Times New Roman" w:cs="Times New Roman"/>
                <w:sz w:val="18"/>
                <w:szCs w:val="18"/>
              </w:rPr>
              <w:t>Ákvæði b- og c-liðar eiga ekki við ef stjórnandi vísitölunnar er í opinberu skránni sem Evrópska verðbréfamarkaðseftirlitsstofnunin heldur skv. 36. gr. reglugerðar (ESB) 2016/1011 (</w:t>
            </w:r>
            <w:r w:rsidRPr="003874FD">
              <w:rPr>
                <w:rStyle w:val="FootnoteReference"/>
                <w:rFonts w:ascii="Times New Roman" w:hAnsi="Times New Roman" w:cs="Times New Roman"/>
                <w:sz w:val="18"/>
                <w:szCs w:val="18"/>
                <w:vertAlign w:val="baseline"/>
              </w:rPr>
              <w:footnoteReference w:id="1"/>
            </w:r>
            <w:r w:rsidRPr="003874FD">
              <w:rPr>
                <w:rFonts w:ascii="Times New Roman" w:hAnsi="Times New Roman" w:cs="Times New Roman"/>
                <w:sz w:val="18"/>
                <w:szCs w:val="18"/>
              </w:rPr>
              <w:t>).</w:t>
            </w:r>
          </w:p>
          <w:p w:rsidR="0020489E" w:rsidRPr="003874FD" w:rsidRDefault="0020489E" w:rsidP="00E31A76">
            <w:pPr>
              <w:pStyle w:val="Tflutexti"/>
              <w:spacing w:before="0" w:after="0"/>
              <w:ind w:left="318" w:hanging="318"/>
              <w:rPr>
                <w:rFonts w:ascii="Times New Roman" w:hAnsi="Times New Roman" w:cs="Times New Roman"/>
                <w:sz w:val="18"/>
                <w:szCs w:val="18"/>
              </w:rPr>
            </w:pPr>
            <w:r w:rsidRPr="003874FD">
              <w:rPr>
                <w:rFonts w:ascii="Times New Roman" w:hAnsi="Times New Roman" w:cs="Times New Roman"/>
                <w:sz w:val="18"/>
                <w:szCs w:val="18"/>
              </w:rPr>
              <w:t>d)</w:t>
            </w:r>
            <w:r w:rsidRPr="003874FD">
              <w:rPr>
                <w:rFonts w:ascii="Times New Roman" w:hAnsi="Times New Roman" w:cs="Times New Roman"/>
                <w:sz w:val="18"/>
                <w:szCs w:val="18"/>
              </w:rPr>
              <w:tab/>
              <w:t>Setji útgefandinn ekki vísitöluna saman skal geta þess hvar hægt er að fá upplýsingar um hana.</w:t>
            </w:r>
          </w:p>
          <w:p w:rsidR="0020489E" w:rsidRPr="003874FD" w:rsidRDefault="0020489E" w:rsidP="0020489E">
            <w:pPr>
              <w:pStyle w:val="Tflutexti"/>
              <w:rPr>
                <w:rFonts w:ascii="Times New Roman" w:hAnsi="Times New Roman" w:cs="Times New Roman"/>
                <w:sz w:val="18"/>
                <w:szCs w:val="18"/>
              </w:rPr>
            </w:pPr>
            <w:r w:rsidRPr="003874FD">
              <w:rPr>
                <w:rFonts w:ascii="Times New Roman" w:hAnsi="Times New Roman" w:cs="Times New Roman"/>
                <w:sz w:val="18"/>
                <w:szCs w:val="18"/>
              </w:rPr>
              <w:t>Sé undirliggjandi þátturinn vextir skal lýsa vöxtunum.</w:t>
            </w:r>
          </w:p>
          <w:p w:rsidR="0020489E" w:rsidRPr="003874FD" w:rsidRDefault="0020489E" w:rsidP="0020489E">
            <w:pPr>
              <w:pStyle w:val="Tflutexti"/>
              <w:rPr>
                <w:rFonts w:ascii="Times New Roman" w:hAnsi="Times New Roman" w:cs="Times New Roman"/>
                <w:sz w:val="18"/>
                <w:szCs w:val="18"/>
              </w:rPr>
            </w:pPr>
            <w:r w:rsidRPr="003874FD">
              <w:rPr>
                <w:rFonts w:ascii="Times New Roman" w:hAnsi="Times New Roman" w:cs="Times New Roman"/>
                <w:sz w:val="18"/>
                <w:szCs w:val="18"/>
              </w:rPr>
              <w:t>Falli undirliggjandi þátturinn ekki undir neinn framangreindan flokk skal verðbréfalýsingin hafa að geyma samsvarandi upplýsingar.</w:t>
            </w:r>
          </w:p>
          <w:p w:rsidR="0020489E" w:rsidRPr="003874FD" w:rsidRDefault="0020489E" w:rsidP="0020489E">
            <w:pPr>
              <w:pStyle w:val="Tflutexti"/>
              <w:rPr>
                <w:rFonts w:ascii="Times New Roman" w:hAnsi="Times New Roman" w:cs="Times New Roman"/>
                <w:sz w:val="18"/>
                <w:szCs w:val="18"/>
              </w:rPr>
            </w:pPr>
            <w:r w:rsidRPr="003874FD">
              <w:rPr>
                <w:rFonts w:ascii="Times New Roman" w:hAnsi="Times New Roman" w:cs="Times New Roman"/>
                <w:sz w:val="18"/>
                <w:szCs w:val="18"/>
              </w:rPr>
              <w:t>Sé undirliggjandi þáttur karfa undirliggjandi þátta skal veita upplýsingar um hvern undirliggjandi þátt eins og lýst er hér að ofan og vægi hvers undirliggjandi þáttar í körfunni.</w:t>
            </w:r>
          </w:p>
        </w:tc>
        <w:tc>
          <w:tcPr>
            <w:tcW w:w="1134" w:type="dxa"/>
            <w:tcBorders>
              <w:left w:val="single" w:sz="4" w:space="0" w:color="auto"/>
            </w:tcBorders>
          </w:tcPr>
          <w:p w:rsidR="0020489E" w:rsidRPr="003874FD" w:rsidRDefault="0020489E" w:rsidP="00C555A0">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lastRenderedPageBreak/>
              <w:t>Flokkur A</w:t>
            </w:r>
          </w:p>
          <w:p w:rsidR="0020489E" w:rsidRPr="003874FD" w:rsidRDefault="0020489E" w:rsidP="00C555A0">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line="240" w:lineRule="auto"/>
              <w:rPr>
                <w:rFonts w:ascii="Times New Roman" w:hAnsi="Times New Roman" w:cs="Times New Roman"/>
                <w:sz w:val="18"/>
                <w:szCs w:val="18"/>
              </w:rPr>
            </w:pPr>
          </w:p>
          <w:p w:rsidR="0020489E" w:rsidRPr="003874FD" w:rsidRDefault="0020489E" w:rsidP="0020489E">
            <w:pPr>
              <w:pStyle w:val="Tflutexti"/>
              <w:spacing w:after="0"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p w:rsidR="0020489E" w:rsidRPr="003874FD" w:rsidRDefault="0020489E" w:rsidP="0020489E">
            <w:pPr>
              <w:pStyle w:val="Tflutexti"/>
              <w:spacing w:before="0"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line="240" w:lineRule="auto"/>
              <w:rPr>
                <w:rFonts w:ascii="Times New Roman" w:hAnsi="Times New Roman" w:cs="Times New Roman"/>
                <w:sz w:val="18"/>
                <w:szCs w:val="18"/>
              </w:rPr>
            </w:pPr>
            <w:r w:rsidRPr="003874FD">
              <w:rPr>
                <w:rFonts w:ascii="Times New Roman" w:hAnsi="Times New Roman" w:cs="Times New Roman"/>
                <w:sz w:val="18"/>
                <w:szCs w:val="18"/>
              </w:rPr>
              <w:t>Flokkur A</w:t>
            </w: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20489E">
            <w:pPr>
              <w:pStyle w:val="Tflutexti"/>
              <w:spacing w:before="0" w:after="0" w:line="240" w:lineRule="auto"/>
              <w:rPr>
                <w:rFonts w:ascii="Times New Roman" w:hAnsi="Times New Roman" w:cs="Times New Roman"/>
                <w:sz w:val="18"/>
                <w:szCs w:val="18"/>
              </w:rPr>
            </w:pPr>
          </w:p>
          <w:p w:rsidR="0020489E" w:rsidRPr="003874FD" w:rsidRDefault="0020489E" w:rsidP="00E31A76">
            <w:pPr>
              <w:pStyle w:val="Tflutexti"/>
              <w:spacing w:after="0"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p w:rsidR="00E31A76" w:rsidRPr="003874FD" w:rsidRDefault="00E31A76" w:rsidP="00E31A76">
            <w:pPr>
              <w:pStyle w:val="Tflutexti"/>
              <w:spacing w:before="0" w:after="0"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p w:rsidR="00E31A76" w:rsidRPr="003874FD" w:rsidRDefault="00E31A76" w:rsidP="0020489E">
            <w:pPr>
              <w:pStyle w:val="Tflutexti"/>
              <w:spacing w:line="240" w:lineRule="auto"/>
              <w:rPr>
                <w:rFonts w:ascii="Times New Roman" w:hAnsi="Times New Roman" w:cs="Times New Roman"/>
                <w:sz w:val="18"/>
                <w:szCs w:val="18"/>
              </w:rPr>
            </w:pPr>
          </w:p>
          <w:p w:rsidR="008542D8" w:rsidRPr="003874FD" w:rsidRDefault="008542D8" w:rsidP="008542D8">
            <w:pPr>
              <w:pStyle w:val="Tflutexti"/>
              <w:spacing w:before="0" w:after="0"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p w:rsidR="008542D8" w:rsidRPr="003874FD" w:rsidRDefault="008542D8" w:rsidP="008542D8">
            <w:pPr>
              <w:pStyle w:val="Tflutexti"/>
              <w:spacing w:before="0" w:after="0" w:line="240" w:lineRule="auto"/>
              <w:rPr>
                <w:rFonts w:ascii="Times New Roman" w:hAnsi="Times New Roman" w:cs="Times New Roman"/>
                <w:sz w:val="18"/>
                <w:szCs w:val="18"/>
              </w:rPr>
            </w:pPr>
            <w:r w:rsidRPr="003874FD">
              <w:rPr>
                <w:rFonts w:ascii="Times New Roman" w:hAnsi="Times New Roman" w:cs="Times New Roman"/>
                <w:sz w:val="18"/>
                <w:szCs w:val="18"/>
              </w:rPr>
              <w:t>Flokkur A</w:t>
            </w:r>
          </w:p>
          <w:p w:rsidR="008542D8" w:rsidRPr="003874FD" w:rsidRDefault="008542D8" w:rsidP="008542D8">
            <w:pPr>
              <w:pStyle w:val="Tflutexti"/>
              <w:spacing w:before="0" w:after="0" w:line="240" w:lineRule="auto"/>
              <w:rPr>
                <w:rFonts w:ascii="Times New Roman" w:hAnsi="Times New Roman" w:cs="Times New Roman"/>
                <w:sz w:val="18"/>
                <w:szCs w:val="18"/>
              </w:rPr>
            </w:pPr>
          </w:p>
          <w:p w:rsidR="008542D8" w:rsidRPr="003874FD" w:rsidRDefault="008542D8" w:rsidP="008542D8">
            <w:pPr>
              <w:pStyle w:val="Tflutexti"/>
              <w:spacing w:before="60" w:after="0" w:line="240" w:lineRule="auto"/>
              <w:rPr>
                <w:rFonts w:ascii="Times New Roman" w:hAnsi="Times New Roman" w:cs="Times New Roman"/>
                <w:sz w:val="18"/>
                <w:szCs w:val="18"/>
              </w:rPr>
            </w:pPr>
            <w:r w:rsidRPr="003874FD">
              <w:rPr>
                <w:rFonts w:ascii="Times New Roman" w:hAnsi="Times New Roman" w:cs="Times New Roman"/>
                <w:sz w:val="18"/>
                <w:szCs w:val="18"/>
              </w:rPr>
              <w:t>Flokkur B</w:t>
            </w:r>
          </w:p>
          <w:p w:rsidR="008542D8" w:rsidRPr="003874FD" w:rsidRDefault="008542D8" w:rsidP="008542D8">
            <w:pPr>
              <w:pStyle w:val="Tflutexti"/>
              <w:spacing w:before="0" w:after="0" w:line="240" w:lineRule="auto"/>
              <w:rPr>
                <w:rFonts w:ascii="Times New Roman" w:hAnsi="Times New Roman" w:cs="Times New Roman"/>
                <w:sz w:val="18"/>
                <w:szCs w:val="18"/>
              </w:rPr>
            </w:pPr>
          </w:p>
          <w:p w:rsidR="0020489E" w:rsidRPr="003874FD" w:rsidRDefault="0020489E" w:rsidP="008542D8">
            <w:pPr>
              <w:pStyle w:val="Tflutexti"/>
              <w:spacing w:before="0" w:after="0" w:line="240" w:lineRule="auto"/>
              <w:rPr>
                <w:rFonts w:ascii="Times New Roman" w:hAnsi="Times New Roman" w:cs="Times New Roman"/>
                <w:sz w:val="18"/>
                <w:szCs w:val="18"/>
              </w:rPr>
            </w:pPr>
          </w:p>
          <w:p w:rsidR="008542D8" w:rsidRPr="003874FD" w:rsidRDefault="008542D8" w:rsidP="008542D8">
            <w:pPr>
              <w:pStyle w:val="Tflutexti"/>
              <w:spacing w:before="0" w:after="0" w:line="240" w:lineRule="auto"/>
              <w:rPr>
                <w:rFonts w:ascii="Times New Roman" w:hAnsi="Times New Roman" w:cs="Times New Roman"/>
                <w:sz w:val="18"/>
                <w:szCs w:val="18"/>
              </w:rPr>
            </w:pPr>
          </w:p>
          <w:p w:rsidR="008542D8" w:rsidRPr="003874FD" w:rsidRDefault="008542D8" w:rsidP="008542D8">
            <w:pPr>
              <w:pStyle w:val="Tflutexti"/>
              <w:spacing w:before="0" w:after="0" w:line="240" w:lineRule="auto"/>
              <w:rPr>
                <w:rFonts w:ascii="Times New Roman" w:hAnsi="Times New Roman" w:cs="Times New Roman"/>
                <w:sz w:val="18"/>
                <w:szCs w:val="18"/>
              </w:rPr>
            </w:pPr>
          </w:p>
          <w:p w:rsidR="008542D8" w:rsidRPr="003874FD" w:rsidRDefault="008542D8" w:rsidP="0020489E">
            <w:pPr>
              <w:pStyle w:val="Tflutexti"/>
              <w:spacing w:before="0" w:line="240" w:lineRule="auto"/>
              <w:rPr>
                <w:rFonts w:ascii="Times New Roman" w:hAnsi="Times New Roman" w:cs="Times New Roman"/>
                <w:sz w:val="18"/>
                <w:szCs w:val="18"/>
              </w:rPr>
            </w:pPr>
          </w:p>
          <w:p w:rsidR="008542D8" w:rsidRPr="003874FD" w:rsidRDefault="008542D8" w:rsidP="008542D8">
            <w:pPr>
              <w:pStyle w:val="Tflutexti"/>
              <w:spacing w:before="0" w:after="100" w:line="240" w:lineRule="auto"/>
              <w:rPr>
                <w:rFonts w:ascii="Times New Roman" w:hAnsi="Times New Roman" w:cs="Times New Roman"/>
                <w:sz w:val="18"/>
                <w:szCs w:val="18"/>
              </w:rPr>
            </w:pPr>
          </w:p>
          <w:p w:rsidR="008542D8" w:rsidRPr="003874FD" w:rsidRDefault="008542D8" w:rsidP="008542D8">
            <w:pPr>
              <w:pStyle w:val="Tflutexti"/>
              <w:spacing w:before="0" w:after="0" w:line="240" w:lineRule="auto"/>
              <w:rPr>
                <w:rFonts w:ascii="Times New Roman" w:hAnsi="Times New Roman" w:cs="Times New Roman"/>
                <w:sz w:val="18"/>
                <w:szCs w:val="18"/>
              </w:rPr>
            </w:pPr>
          </w:p>
          <w:p w:rsidR="008542D8" w:rsidRPr="003874FD" w:rsidRDefault="008542D8" w:rsidP="008542D8">
            <w:pPr>
              <w:pStyle w:val="Tflutexti"/>
              <w:spacing w:before="0" w:after="0" w:line="240" w:lineRule="auto"/>
              <w:rPr>
                <w:rFonts w:ascii="Times New Roman" w:hAnsi="Times New Roman" w:cs="Times New Roman"/>
                <w:sz w:val="18"/>
                <w:szCs w:val="18"/>
              </w:rPr>
            </w:pPr>
          </w:p>
          <w:p w:rsidR="008542D8" w:rsidRPr="003874FD" w:rsidRDefault="008542D8" w:rsidP="008542D8">
            <w:pPr>
              <w:pStyle w:val="Tflutexti"/>
              <w:spacing w:after="0"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p w:rsidR="008542D8" w:rsidRPr="003874FD" w:rsidRDefault="008542D8" w:rsidP="008542D8">
            <w:pPr>
              <w:pStyle w:val="Tflutexti"/>
              <w:spacing w:before="0" w:after="0" w:line="240" w:lineRule="auto"/>
              <w:rPr>
                <w:rFonts w:ascii="Times New Roman" w:hAnsi="Times New Roman" w:cs="Times New Roman"/>
                <w:sz w:val="18"/>
                <w:szCs w:val="18"/>
              </w:rPr>
            </w:pPr>
          </w:p>
          <w:p w:rsidR="008542D8" w:rsidRPr="003874FD" w:rsidRDefault="008542D8" w:rsidP="008542D8">
            <w:pPr>
              <w:pStyle w:val="Tflutexti"/>
              <w:spacing w:after="0" w:line="80" w:lineRule="atLeast"/>
              <w:rPr>
                <w:rFonts w:ascii="Times New Roman" w:hAnsi="Times New Roman" w:cs="Times New Roman"/>
                <w:sz w:val="18"/>
                <w:szCs w:val="18"/>
              </w:rPr>
            </w:pPr>
            <w:r w:rsidRPr="003874FD">
              <w:rPr>
                <w:rFonts w:ascii="Times New Roman" w:hAnsi="Times New Roman" w:cs="Times New Roman"/>
                <w:sz w:val="18"/>
                <w:szCs w:val="18"/>
              </w:rPr>
              <w:t>Flokkur C</w:t>
            </w:r>
          </w:p>
          <w:p w:rsidR="008542D8" w:rsidRPr="003874FD" w:rsidRDefault="008542D8" w:rsidP="008542D8">
            <w:pPr>
              <w:pStyle w:val="Tflutexti"/>
              <w:spacing w:after="0"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p w:rsidR="008542D8" w:rsidRPr="003874FD" w:rsidRDefault="008542D8" w:rsidP="008542D8">
            <w:pPr>
              <w:pStyle w:val="Tflutexti"/>
              <w:spacing w:before="0" w:after="0" w:line="240" w:lineRule="auto"/>
              <w:rPr>
                <w:rFonts w:ascii="Times New Roman" w:hAnsi="Times New Roman" w:cs="Times New Roman"/>
                <w:sz w:val="18"/>
                <w:szCs w:val="18"/>
              </w:rPr>
            </w:pPr>
          </w:p>
          <w:p w:rsidR="008542D8" w:rsidRPr="003874FD" w:rsidRDefault="008542D8" w:rsidP="008542D8">
            <w:pPr>
              <w:pStyle w:val="Tflutexti"/>
              <w:spacing w:before="140" w:after="0"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tc>
      </w:tr>
      <w:tr w:rsidR="0020489E" w:rsidRPr="003874FD" w:rsidTr="00300E21">
        <w:trPr>
          <w:trHeight w:val="567"/>
        </w:trPr>
        <w:tc>
          <w:tcPr>
            <w:tcW w:w="1276" w:type="dxa"/>
          </w:tcPr>
          <w:p w:rsidR="0020489E" w:rsidRPr="003874FD" w:rsidRDefault="00D65CD9" w:rsidP="00300E21">
            <w:pPr>
              <w:pStyle w:val="Tflutexti"/>
              <w:rPr>
                <w:rFonts w:ascii="Times New Roman" w:hAnsi="Times New Roman" w:cs="Times New Roman"/>
                <w:sz w:val="18"/>
                <w:szCs w:val="18"/>
              </w:rPr>
            </w:pPr>
            <w:r w:rsidRPr="003874FD">
              <w:rPr>
                <w:rFonts w:ascii="Times New Roman" w:hAnsi="Times New Roman" w:cs="Times New Roman"/>
                <w:sz w:val="18"/>
                <w:szCs w:val="18"/>
              </w:rPr>
              <w:lastRenderedPageBreak/>
              <w:t>Liður 2.2.3.</w:t>
            </w:r>
          </w:p>
        </w:tc>
        <w:tc>
          <w:tcPr>
            <w:tcW w:w="6804" w:type="dxa"/>
            <w:tcBorders>
              <w:right w:val="single" w:sz="4" w:space="0" w:color="auto"/>
            </w:tcBorders>
          </w:tcPr>
          <w:p w:rsidR="0020489E" w:rsidRPr="003874FD" w:rsidRDefault="00D65CD9"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 xml:space="preserve">Lýsing á hvers kyns röskun á markaði eða atburðum sem valda röskun á greiðsluuppgjöri eða lánaatburðum (e. </w:t>
            </w:r>
            <w:proofErr w:type="spellStart"/>
            <w:r w:rsidRPr="003874FD">
              <w:rPr>
                <w:rFonts w:ascii="Times New Roman" w:hAnsi="Times New Roman" w:cs="Times New Roman"/>
                <w:i/>
                <w:iCs/>
                <w:sz w:val="18"/>
                <w:szCs w:val="18"/>
              </w:rPr>
              <w:t>credit</w:t>
            </w:r>
            <w:proofErr w:type="spellEnd"/>
            <w:r w:rsidRPr="003874FD">
              <w:rPr>
                <w:rFonts w:ascii="Times New Roman" w:hAnsi="Times New Roman" w:cs="Times New Roman"/>
                <w:i/>
                <w:iCs/>
                <w:sz w:val="18"/>
                <w:szCs w:val="18"/>
              </w:rPr>
              <w:t xml:space="preserve"> </w:t>
            </w:r>
            <w:proofErr w:type="spellStart"/>
            <w:r w:rsidRPr="003874FD">
              <w:rPr>
                <w:rFonts w:ascii="Times New Roman" w:hAnsi="Times New Roman" w:cs="Times New Roman"/>
                <w:i/>
                <w:iCs/>
                <w:sz w:val="18"/>
                <w:szCs w:val="18"/>
              </w:rPr>
              <w:t>event</w:t>
            </w:r>
            <w:proofErr w:type="spellEnd"/>
            <w:r w:rsidRPr="003874FD">
              <w:rPr>
                <w:rFonts w:ascii="Times New Roman" w:hAnsi="Times New Roman" w:cs="Times New Roman"/>
                <w:sz w:val="18"/>
                <w:szCs w:val="18"/>
              </w:rPr>
              <w:t>) sem hafa áhrif á undirliggjandi þátt.</w:t>
            </w:r>
          </w:p>
        </w:tc>
        <w:tc>
          <w:tcPr>
            <w:tcW w:w="1134" w:type="dxa"/>
            <w:tcBorders>
              <w:left w:val="single" w:sz="4" w:space="0" w:color="auto"/>
            </w:tcBorders>
          </w:tcPr>
          <w:p w:rsidR="0020489E" w:rsidRPr="003874FD" w:rsidRDefault="00D65CD9" w:rsidP="0022097D">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 xml:space="preserve">Flokkur </w:t>
            </w:r>
            <w:r w:rsidR="0022097D" w:rsidRPr="003874FD">
              <w:rPr>
                <w:rFonts w:ascii="Times New Roman" w:hAnsi="Times New Roman" w:cs="Times New Roman"/>
                <w:sz w:val="18"/>
                <w:szCs w:val="18"/>
              </w:rPr>
              <w:t>B</w:t>
            </w:r>
          </w:p>
        </w:tc>
      </w:tr>
      <w:tr w:rsidR="00590697" w:rsidRPr="003874FD" w:rsidTr="00590697">
        <w:trPr>
          <w:trHeight w:val="567"/>
        </w:trPr>
        <w:tc>
          <w:tcPr>
            <w:tcW w:w="1276" w:type="dxa"/>
          </w:tcPr>
          <w:p w:rsidR="00590697" w:rsidRPr="003874FD" w:rsidRDefault="00590697"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Liður 2.2.4.</w:t>
            </w:r>
          </w:p>
        </w:tc>
        <w:tc>
          <w:tcPr>
            <w:tcW w:w="6804" w:type="dxa"/>
            <w:tcBorders>
              <w:right w:val="single" w:sz="4" w:space="0" w:color="auto"/>
            </w:tcBorders>
          </w:tcPr>
          <w:p w:rsidR="00590697" w:rsidRPr="003874FD" w:rsidRDefault="00590697"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Leiðréttingarreglur sem tengjast atburðum sem hafa áhrif á undirliggjandi þætti.</w:t>
            </w:r>
          </w:p>
        </w:tc>
        <w:tc>
          <w:tcPr>
            <w:tcW w:w="1134" w:type="dxa"/>
            <w:tcBorders>
              <w:left w:val="single" w:sz="4" w:space="0" w:color="auto"/>
              <w:bottom w:val="single" w:sz="4" w:space="0" w:color="auto"/>
            </w:tcBorders>
          </w:tcPr>
          <w:p w:rsidR="00590697" w:rsidRPr="003874FD" w:rsidRDefault="00590697" w:rsidP="00D65CD9">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Flokkur B</w:t>
            </w:r>
          </w:p>
        </w:tc>
      </w:tr>
      <w:tr w:rsidR="0020489E" w:rsidRPr="003874FD" w:rsidTr="00590697">
        <w:trPr>
          <w:trHeight w:val="567"/>
        </w:trPr>
        <w:tc>
          <w:tcPr>
            <w:tcW w:w="1276" w:type="dxa"/>
          </w:tcPr>
          <w:p w:rsidR="0020489E" w:rsidRPr="003874FD" w:rsidRDefault="00590697" w:rsidP="00300E21">
            <w:pPr>
              <w:pStyle w:val="Tflutexti"/>
              <w:rPr>
                <w:rFonts w:ascii="Times New Roman" w:hAnsi="Times New Roman" w:cs="Times New Roman"/>
                <w:sz w:val="18"/>
                <w:szCs w:val="18"/>
              </w:rPr>
            </w:pPr>
            <w:r w:rsidRPr="003874FD">
              <w:rPr>
                <w:rFonts w:ascii="Times New Roman" w:hAnsi="Times New Roman" w:cs="Times New Roman"/>
                <w:sz w:val="18"/>
                <w:szCs w:val="18"/>
              </w:rPr>
              <w:lastRenderedPageBreak/>
              <w:t>3. ÞÁTTUR</w:t>
            </w:r>
          </w:p>
        </w:tc>
        <w:tc>
          <w:tcPr>
            <w:tcW w:w="6804" w:type="dxa"/>
            <w:tcBorders>
              <w:right w:val="nil"/>
            </w:tcBorders>
          </w:tcPr>
          <w:p w:rsidR="0020489E" w:rsidRPr="003874FD" w:rsidRDefault="00590697"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VIÐBÓTARUPPLÝSINGAR</w:t>
            </w:r>
          </w:p>
        </w:tc>
        <w:tc>
          <w:tcPr>
            <w:tcW w:w="1134" w:type="dxa"/>
            <w:tcBorders>
              <w:left w:val="nil"/>
            </w:tcBorders>
          </w:tcPr>
          <w:p w:rsidR="0020489E" w:rsidRPr="003874FD" w:rsidRDefault="0020489E" w:rsidP="00C555A0">
            <w:pPr>
              <w:pStyle w:val="Tflutexti"/>
              <w:spacing w:line="240" w:lineRule="auto"/>
              <w:rPr>
                <w:rFonts w:ascii="Times New Roman" w:hAnsi="Times New Roman" w:cs="Times New Roman"/>
                <w:sz w:val="18"/>
                <w:szCs w:val="18"/>
              </w:rPr>
            </w:pPr>
          </w:p>
        </w:tc>
      </w:tr>
      <w:tr w:rsidR="0020489E" w:rsidRPr="003874FD" w:rsidTr="00300E21">
        <w:trPr>
          <w:trHeight w:val="567"/>
        </w:trPr>
        <w:tc>
          <w:tcPr>
            <w:tcW w:w="1276" w:type="dxa"/>
          </w:tcPr>
          <w:p w:rsidR="0020489E" w:rsidRPr="003874FD" w:rsidRDefault="00590697"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Liður 3.1.</w:t>
            </w:r>
          </w:p>
        </w:tc>
        <w:tc>
          <w:tcPr>
            <w:tcW w:w="6804" w:type="dxa"/>
            <w:tcBorders>
              <w:right w:val="single" w:sz="4" w:space="0" w:color="auto"/>
            </w:tcBorders>
          </w:tcPr>
          <w:p w:rsidR="0020489E" w:rsidRPr="003874FD" w:rsidRDefault="00590697" w:rsidP="00300E21">
            <w:pPr>
              <w:pStyle w:val="Tflutexti"/>
              <w:rPr>
                <w:rFonts w:ascii="Times New Roman" w:hAnsi="Times New Roman" w:cs="Times New Roman"/>
                <w:sz w:val="18"/>
                <w:szCs w:val="18"/>
              </w:rPr>
            </w:pPr>
            <w:r w:rsidRPr="003874FD">
              <w:rPr>
                <w:rFonts w:ascii="Times New Roman" w:hAnsi="Times New Roman" w:cs="Times New Roman"/>
                <w:sz w:val="18"/>
                <w:szCs w:val="18"/>
              </w:rPr>
              <w:t xml:space="preserve">Lýsingin skal tilgreina hvort útgefandi hyggst veita upplýsingar að útgáfu lokinni (e. </w:t>
            </w:r>
            <w:proofErr w:type="spellStart"/>
            <w:r w:rsidRPr="003874FD">
              <w:rPr>
                <w:rFonts w:ascii="Times New Roman" w:hAnsi="Times New Roman" w:cs="Times New Roman"/>
                <w:i/>
                <w:iCs/>
                <w:sz w:val="18"/>
                <w:szCs w:val="18"/>
              </w:rPr>
              <w:t>post</w:t>
            </w:r>
            <w:proofErr w:type="spellEnd"/>
            <w:r w:rsidRPr="003874FD">
              <w:rPr>
                <w:rFonts w:ascii="Times New Roman" w:hAnsi="Times New Roman" w:cs="Times New Roman"/>
                <w:i/>
                <w:iCs/>
                <w:sz w:val="18"/>
                <w:szCs w:val="18"/>
              </w:rPr>
              <w:t xml:space="preserve"> </w:t>
            </w:r>
            <w:proofErr w:type="spellStart"/>
            <w:r w:rsidRPr="003874FD">
              <w:rPr>
                <w:rFonts w:ascii="Times New Roman" w:hAnsi="Times New Roman" w:cs="Times New Roman"/>
                <w:i/>
                <w:iCs/>
                <w:sz w:val="18"/>
                <w:szCs w:val="18"/>
              </w:rPr>
              <w:t>issuance</w:t>
            </w:r>
            <w:proofErr w:type="spellEnd"/>
            <w:r w:rsidRPr="003874FD">
              <w:rPr>
                <w:rFonts w:ascii="Times New Roman" w:hAnsi="Times New Roman" w:cs="Times New Roman"/>
                <w:i/>
                <w:iCs/>
                <w:sz w:val="18"/>
                <w:szCs w:val="18"/>
              </w:rPr>
              <w:t xml:space="preserve"> </w:t>
            </w:r>
            <w:proofErr w:type="spellStart"/>
            <w:r w:rsidRPr="003874FD">
              <w:rPr>
                <w:rFonts w:ascii="Times New Roman" w:hAnsi="Times New Roman" w:cs="Times New Roman"/>
                <w:i/>
                <w:iCs/>
                <w:sz w:val="18"/>
                <w:szCs w:val="18"/>
              </w:rPr>
              <w:t>information</w:t>
            </w:r>
            <w:proofErr w:type="spellEnd"/>
            <w:r w:rsidRPr="003874FD">
              <w:rPr>
                <w:rFonts w:ascii="Times New Roman" w:hAnsi="Times New Roman" w:cs="Times New Roman"/>
                <w:sz w:val="18"/>
                <w:szCs w:val="18"/>
              </w:rPr>
              <w:t>). Hafi útgefandi gefið til kynna að hann hyggist greina frá slíkum upplýsingum skal hann tilgreina í lýsingunni hvaða upplýsingum verður greint frá og hvar hægt verði að finna þær.</w:t>
            </w:r>
          </w:p>
        </w:tc>
        <w:tc>
          <w:tcPr>
            <w:tcW w:w="1134" w:type="dxa"/>
            <w:tcBorders>
              <w:left w:val="single" w:sz="4" w:space="0" w:color="auto"/>
            </w:tcBorders>
          </w:tcPr>
          <w:p w:rsidR="0020489E" w:rsidRPr="003874FD" w:rsidRDefault="00590697" w:rsidP="00C555A0">
            <w:pPr>
              <w:pStyle w:val="Tflutexti"/>
              <w:spacing w:line="240" w:lineRule="auto"/>
              <w:rPr>
                <w:rFonts w:ascii="Times New Roman" w:hAnsi="Times New Roman" w:cs="Times New Roman"/>
                <w:sz w:val="18"/>
                <w:szCs w:val="18"/>
              </w:rPr>
            </w:pPr>
            <w:r w:rsidRPr="003874FD">
              <w:rPr>
                <w:rFonts w:ascii="Times New Roman" w:hAnsi="Times New Roman" w:cs="Times New Roman"/>
                <w:sz w:val="18"/>
                <w:szCs w:val="18"/>
              </w:rPr>
              <w:t>Flokkur C</w:t>
            </w:r>
          </w:p>
        </w:tc>
      </w:tr>
    </w:tbl>
    <w:p w:rsidR="009B6F21" w:rsidRPr="003874FD" w:rsidRDefault="009B6F21" w:rsidP="007F6312">
      <w:pPr>
        <w:pStyle w:val="Meginml"/>
        <w:rPr>
          <w:rFonts w:ascii="Times New Roman" w:hAnsi="Times New Roman" w:cs="Times New Roman"/>
          <w:sz w:val="18"/>
          <w:szCs w:val="18"/>
          <w:lang w:val="is-IS"/>
        </w:rPr>
      </w:pPr>
    </w:p>
    <w:sectPr w:rsidR="009B6F21" w:rsidRPr="003874FD"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0F" w:rsidRDefault="004B390F" w:rsidP="004C2AD6">
      <w:r>
        <w:separator/>
      </w:r>
    </w:p>
  </w:endnote>
  <w:endnote w:type="continuationSeparator" w:id="0">
    <w:p w:rsidR="004B390F" w:rsidRDefault="004B390F"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12" w:rsidRPr="007F6312" w:rsidRDefault="007F6312" w:rsidP="007F6312">
    <w:pPr>
      <w:pStyle w:val="Footer"/>
      <w:tabs>
        <w:tab w:val="clear" w:pos="9360"/>
        <w:tab w:val="center" w:pos="4532"/>
      </w:tabs>
      <w:rPr>
        <w:b/>
        <w:i/>
      </w:rPr>
    </w:pPr>
    <w:r w:rsidRPr="007F6312">
      <w:tab/>
    </w:r>
    <w:sdt>
      <w:sdtPr>
        <w:rPr>
          <w:b/>
          <w:i/>
        </w:rPr>
        <w:id w:val="121507023"/>
        <w:docPartObj>
          <w:docPartGallery w:val="Page Numbers (Bottom of Page)"/>
          <w:docPartUnique/>
        </w:docPartObj>
      </w:sdtPr>
      <w:sdtEndPr>
        <w:rPr>
          <w:i w:val="0"/>
          <w:noProof/>
        </w:rPr>
      </w:sdtEndPr>
      <w:sdtContent>
        <w:r w:rsidRPr="001E5E3E">
          <w:rPr>
            <w:rFonts w:ascii="Syntax LT Std" w:hAnsi="Syntax LT Std"/>
            <w:b/>
            <w:sz w:val="18"/>
            <w:szCs w:val="18"/>
          </w:rPr>
          <w:fldChar w:fldCharType="begin"/>
        </w:r>
        <w:r w:rsidRPr="001E5E3E">
          <w:rPr>
            <w:rFonts w:ascii="Syntax LT Std" w:hAnsi="Syntax LT Std"/>
            <w:sz w:val="18"/>
            <w:szCs w:val="18"/>
          </w:rPr>
          <w:instrText xml:space="preserve"> PAGE   \* MERGEFORMAT </w:instrText>
        </w:r>
        <w:r w:rsidRPr="001E5E3E">
          <w:rPr>
            <w:rFonts w:ascii="Syntax LT Std" w:hAnsi="Syntax LT Std"/>
            <w:b/>
            <w:sz w:val="18"/>
            <w:szCs w:val="18"/>
          </w:rPr>
          <w:fldChar w:fldCharType="separate"/>
        </w:r>
        <w:r w:rsidR="003874FD" w:rsidRPr="003874FD">
          <w:rPr>
            <w:rFonts w:ascii="Syntax LT Std" w:hAnsi="Syntax LT Std"/>
            <w:b/>
            <w:noProof/>
            <w:sz w:val="18"/>
            <w:szCs w:val="18"/>
          </w:rPr>
          <w:t>3</w:t>
        </w:r>
        <w:r w:rsidRPr="001E5E3E">
          <w:rPr>
            <w:rFonts w:ascii="Syntax LT Std" w:hAnsi="Syntax LT Std"/>
            <w:b/>
            <w:noProof/>
            <w:sz w:val="18"/>
            <w:szCs w:val="18"/>
          </w:rPr>
          <w:fldChar w:fldCharType="end"/>
        </w:r>
      </w:sdtContent>
    </w:sdt>
    <w:r w:rsidRPr="001E5E3E">
      <w:rPr>
        <w:noProof/>
      </w:rPr>
      <w:tab/>
    </w:r>
    <w:r w:rsidRPr="007F6312">
      <w:rPr>
        <w:noProof/>
      </w:rPr>
      <w:tab/>
    </w:r>
  </w:p>
  <w:p w:rsidR="007F6312" w:rsidRPr="007F6312" w:rsidRDefault="007F6312">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6433"/>
      <w:docPartObj>
        <w:docPartGallery w:val="Page Numbers (Bottom of Page)"/>
        <w:docPartUnique/>
      </w:docPartObj>
    </w:sdtPr>
    <w:sdtEndPr>
      <w:rPr>
        <w:rFonts w:ascii="Syntax LT Std" w:hAnsi="Syntax LT Std"/>
        <w:b/>
        <w:noProof/>
        <w:sz w:val="18"/>
        <w:szCs w:val="18"/>
      </w:rPr>
    </w:sdtEndPr>
    <w:sdtContent>
      <w:p w:rsidR="007B0B36" w:rsidRPr="007B5B30" w:rsidRDefault="007B0B36">
        <w:pPr>
          <w:pStyle w:val="Footer"/>
          <w:jc w:val="center"/>
          <w:rPr>
            <w:rFonts w:ascii="Syntax LT Std" w:hAnsi="Syntax LT Std"/>
            <w:b/>
            <w:sz w:val="18"/>
            <w:szCs w:val="18"/>
          </w:rPr>
        </w:pPr>
        <w:r w:rsidRPr="007B5B30">
          <w:rPr>
            <w:rFonts w:ascii="Syntax LT Std" w:hAnsi="Syntax LT Std"/>
            <w:b/>
            <w:sz w:val="18"/>
            <w:szCs w:val="18"/>
          </w:rPr>
          <w:fldChar w:fldCharType="begin"/>
        </w:r>
        <w:r w:rsidRPr="007B5B30">
          <w:rPr>
            <w:rFonts w:ascii="Syntax LT Std" w:hAnsi="Syntax LT Std"/>
            <w:sz w:val="18"/>
            <w:szCs w:val="18"/>
          </w:rPr>
          <w:instrText xml:space="preserve"> PAGE   \* MERGEFORMAT </w:instrText>
        </w:r>
        <w:r w:rsidRPr="007B5B30">
          <w:rPr>
            <w:rFonts w:ascii="Syntax LT Std" w:hAnsi="Syntax LT Std"/>
            <w:b/>
            <w:sz w:val="18"/>
            <w:szCs w:val="18"/>
          </w:rPr>
          <w:fldChar w:fldCharType="separate"/>
        </w:r>
        <w:r w:rsidR="003874FD" w:rsidRPr="003874FD">
          <w:rPr>
            <w:rFonts w:ascii="Syntax LT Std" w:hAnsi="Syntax LT Std"/>
            <w:b/>
            <w:noProof/>
            <w:sz w:val="18"/>
            <w:szCs w:val="18"/>
          </w:rPr>
          <w:t>1</w:t>
        </w:r>
        <w:r w:rsidRPr="007B5B30">
          <w:rPr>
            <w:rFonts w:ascii="Syntax LT Std" w:hAnsi="Syntax LT Std"/>
            <w:b/>
            <w:noProof/>
            <w:sz w:val="18"/>
            <w:szCs w:val="18"/>
          </w:rPr>
          <w:fldChar w:fldCharType="end"/>
        </w:r>
      </w:p>
    </w:sdtContent>
  </w:sdt>
  <w:p w:rsidR="007B0B36" w:rsidRDefault="007B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0F" w:rsidRDefault="004B390F" w:rsidP="004C2AD6">
      <w:r>
        <w:separator/>
      </w:r>
    </w:p>
  </w:footnote>
  <w:footnote w:type="continuationSeparator" w:id="0">
    <w:p w:rsidR="004B390F" w:rsidRDefault="004B390F" w:rsidP="004C2AD6">
      <w:r>
        <w:continuationSeparator/>
      </w:r>
    </w:p>
  </w:footnote>
  <w:footnote w:id="1">
    <w:p w:rsidR="0020489E" w:rsidRDefault="0020489E" w:rsidP="00892AA7">
      <w:pPr>
        <w:pStyle w:val="NeanmlsgreinarFME"/>
      </w:pPr>
      <w:r>
        <w:t>(</w:t>
      </w:r>
      <w:r>
        <w:rPr>
          <w:rStyle w:val="FootnoteReference"/>
        </w:rPr>
        <w:footnoteRef/>
      </w:r>
      <w:r>
        <w:t>)</w:t>
      </w:r>
      <w:r>
        <w:tab/>
      </w:r>
      <w:proofErr w:type="spellStart"/>
      <w:r>
        <w:t>Reglugerð</w:t>
      </w:r>
      <w:proofErr w:type="spellEnd"/>
      <w:r>
        <w:t xml:space="preserve"> </w:t>
      </w:r>
      <w:proofErr w:type="spellStart"/>
      <w:r>
        <w:t>Evrópuþingsins</w:t>
      </w:r>
      <w:proofErr w:type="spellEnd"/>
      <w:r>
        <w:t xml:space="preserve"> </w:t>
      </w:r>
      <w:proofErr w:type="spellStart"/>
      <w:proofErr w:type="gramStart"/>
      <w:r>
        <w:t>og</w:t>
      </w:r>
      <w:proofErr w:type="spellEnd"/>
      <w:proofErr w:type="gramEnd"/>
      <w:r>
        <w:t xml:space="preserve"> </w:t>
      </w:r>
      <w:proofErr w:type="spellStart"/>
      <w:r>
        <w:t>ráðsins</w:t>
      </w:r>
      <w:proofErr w:type="spellEnd"/>
      <w:r>
        <w:t xml:space="preserve"> (ESB) 2016/1011 </w:t>
      </w:r>
      <w:proofErr w:type="spellStart"/>
      <w:r>
        <w:t>frá</w:t>
      </w:r>
      <w:proofErr w:type="spellEnd"/>
      <w:r>
        <w:t xml:space="preserve"> 8. </w:t>
      </w:r>
      <w:proofErr w:type="spellStart"/>
      <w:proofErr w:type="gramStart"/>
      <w:r>
        <w:t>júní</w:t>
      </w:r>
      <w:proofErr w:type="spellEnd"/>
      <w:proofErr w:type="gramEnd"/>
      <w:r>
        <w:t xml:space="preserve"> 2016 um </w:t>
      </w:r>
      <w:proofErr w:type="spellStart"/>
      <w:r>
        <w:t>vísitölur</w:t>
      </w:r>
      <w:proofErr w:type="spellEnd"/>
      <w:r>
        <w:t xml:space="preserve"> </w:t>
      </w:r>
      <w:proofErr w:type="spellStart"/>
      <w:r>
        <w:t>sem</w:t>
      </w:r>
      <w:proofErr w:type="spellEnd"/>
      <w:r>
        <w:t xml:space="preserve"> </w:t>
      </w:r>
      <w:proofErr w:type="spellStart"/>
      <w:r>
        <w:t>notaðar</w:t>
      </w:r>
      <w:proofErr w:type="spellEnd"/>
      <w:r>
        <w:t xml:space="preserve"> </w:t>
      </w:r>
      <w:proofErr w:type="spellStart"/>
      <w:r>
        <w:t>eru</w:t>
      </w:r>
      <w:proofErr w:type="spellEnd"/>
      <w:r>
        <w:t xml:space="preserve"> </w:t>
      </w:r>
      <w:proofErr w:type="spellStart"/>
      <w:r>
        <w:t>sem</w:t>
      </w:r>
      <w:proofErr w:type="spellEnd"/>
      <w:r>
        <w:t xml:space="preserve"> </w:t>
      </w:r>
      <w:proofErr w:type="spellStart"/>
      <w:r>
        <w:t>viðmiðanir</w:t>
      </w:r>
      <w:proofErr w:type="spellEnd"/>
      <w:r>
        <w:t xml:space="preserve"> í </w:t>
      </w:r>
      <w:proofErr w:type="spellStart"/>
      <w:r>
        <w:t>fjármálagerningum</w:t>
      </w:r>
      <w:proofErr w:type="spellEnd"/>
      <w:r>
        <w:t xml:space="preserve"> </w:t>
      </w:r>
      <w:proofErr w:type="spellStart"/>
      <w:r>
        <w:t>og</w:t>
      </w:r>
      <w:proofErr w:type="spellEnd"/>
      <w:r>
        <w:t xml:space="preserve"> </w:t>
      </w:r>
      <w:proofErr w:type="spellStart"/>
      <w:r>
        <w:t>fjárhagslegum</w:t>
      </w:r>
      <w:proofErr w:type="spellEnd"/>
      <w:r>
        <w:t xml:space="preserve"> </w:t>
      </w:r>
      <w:proofErr w:type="spellStart"/>
      <w:r>
        <w:t>samningum</w:t>
      </w:r>
      <w:proofErr w:type="spellEnd"/>
      <w:r>
        <w:t xml:space="preserve"> </w:t>
      </w:r>
      <w:proofErr w:type="spellStart"/>
      <w:r>
        <w:t>eða</w:t>
      </w:r>
      <w:proofErr w:type="spellEnd"/>
      <w:r>
        <w:t xml:space="preserve"> </w:t>
      </w:r>
      <w:proofErr w:type="spellStart"/>
      <w:r>
        <w:t>til</w:t>
      </w:r>
      <w:proofErr w:type="spellEnd"/>
      <w:r>
        <w:t xml:space="preserve"> </w:t>
      </w:r>
      <w:proofErr w:type="spellStart"/>
      <w:r>
        <w:t>að</w:t>
      </w:r>
      <w:proofErr w:type="spellEnd"/>
      <w:r>
        <w:t xml:space="preserve"> </w:t>
      </w:r>
      <w:proofErr w:type="spellStart"/>
      <w:r>
        <w:t>mæla</w:t>
      </w:r>
      <w:proofErr w:type="spellEnd"/>
      <w:r>
        <w:t xml:space="preserve"> </w:t>
      </w:r>
      <w:proofErr w:type="spellStart"/>
      <w:r>
        <w:t>árangur</w:t>
      </w:r>
      <w:proofErr w:type="spellEnd"/>
      <w:r>
        <w:t xml:space="preserve"> </w:t>
      </w:r>
      <w:proofErr w:type="spellStart"/>
      <w:r w:rsidRPr="00892AA7">
        <w:t>fjárfestingarsjóða</w:t>
      </w:r>
      <w:proofErr w:type="spellEnd"/>
      <w:r>
        <w:t xml:space="preserve"> </w:t>
      </w:r>
      <w:proofErr w:type="spellStart"/>
      <w:r>
        <w:t>og</w:t>
      </w:r>
      <w:proofErr w:type="spellEnd"/>
      <w:r>
        <w:t xml:space="preserve"> um </w:t>
      </w:r>
      <w:proofErr w:type="spellStart"/>
      <w:r>
        <w:t>breytingu</w:t>
      </w:r>
      <w:proofErr w:type="spellEnd"/>
      <w:r>
        <w:t xml:space="preserve"> á </w:t>
      </w:r>
      <w:proofErr w:type="spellStart"/>
      <w:r>
        <w:t>tilskipunum</w:t>
      </w:r>
      <w:proofErr w:type="spellEnd"/>
      <w:r>
        <w:t xml:space="preserve"> 2008/48/EB </w:t>
      </w:r>
      <w:proofErr w:type="spellStart"/>
      <w:r>
        <w:t>og</w:t>
      </w:r>
      <w:proofErr w:type="spellEnd"/>
      <w:r>
        <w:t xml:space="preserve"> 2014/17/ESB </w:t>
      </w:r>
      <w:proofErr w:type="spellStart"/>
      <w:r>
        <w:t>og</w:t>
      </w:r>
      <w:proofErr w:type="spellEnd"/>
      <w:r>
        <w:t xml:space="preserve"> </w:t>
      </w:r>
      <w:proofErr w:type="spellStart"/>
      <w:r>
        <w:t>reglugerð</w:t>
      </w:r>
      <w:proofErr w:type="spellEnd"/>
      <w:r>
        <w:t xml:space="preserve"> (ESB) </w:t>
      </w:r>
      <w:proofErr w:type="spellStart"/>
      <w:r>
        <w:t>nr</w:t>
      </w:r>
      <w:proofErr w:type="spellEnd"/>
      <w:r>
        <w:t>. 596/2014 (</w:t>
      </w:r>
      <w:proofErr w:type="spellStart"/>
      <w:r>
        <w:t>Stjtíð</w:t>
      </w:r>
      <w:proofErr w:type="spellEnd"/>
      <w:r>
        <w:t>. ESB L 171, 29.6.2016, bls.1).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6A" w:rsidRDefault="0023476A">
    <w:pPr>
      <w:pStyle w:val="Header"/>
    </w:pPr>
  </w:p>
  <w:p w:rsidR="0023476A" w:rsidRDefault="0023476A">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36" w:rsidRDefault="007B0B36">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663"/>
    <w:multiLevelType w:val="hybridMultilevel"/>
    <w:tmpl w:val="5F1405C8"/>
    <w:lvl w:ilvl="0" w:tplc="22FED7E0">
      <w:start w:val="1"/>
      <w:numFmt w:val="lowerLetter"/>
      <w:lvlText w:val="%1)"/>
      <w:lvlJc w:val="left"/>
      <w:pPr>
        <w:ind w:left="722" w:hanging="705"/>
      </w:pPr>
      <w:rPr>
        <w:rFonts w:hint="default"/>
      </w:rPr>
    </w:lvl>
    <w:lvl w:ilvl="1" w:tplc="040F0019" w:tentative="1">
      <w:start w:val="1"/>
      <w:numFmt w:val="lowerLetter"/>
      <w:lvlText w:val="%2."/>
      <w:lvlJc w:val="left"/>
      <w:pPr>
        <w:ind w:left="1097" w:hanging="360"/>
      </w:pPr>
    </w:lvl>
    <w:lvl w:ilvl="2" w:tplc="040F001B" w:tentative="1">
      <w:start w:val="1"/>
      <w:numFmt w:val="lowerRoman"/>
      <w:lvlText w:val="%3."/>
      <w:lvlJc w:val="right"/>
      <w:pPr>
        <w:ind w:left="1817" w:hanging="180"/>
      </w:pPr>
    </w:lvl>
    <w:lvl w:ilvl="3" w:tplc="040F000F" w:tentative="1">
      <w:start w:val="1"/>
      <w:numFmt w:val="decimal"/>
      <w:lvlText w:val="%4."/>
      <w:lvlJc w:val="left"/>
      <w:pPr>
        <w:ind w:left="2537" w:hanging="360"/>
      </w:pPr>
    </w:lvl>
    <w:lvl w:ilvl="4" w:tplc="040F0019" w:tentative="1">
      <w:start w:val="1"/>
      <w:numFmt w:val="lowerLetter"/>
      <w:lvlText w:val="%5."/>
      <w:lvlJc w:val="left"/>
      <w:pPr>
        <w:ind w:left="3257" w:hanging="360"/>
      </w:pPr>
    </w:lvl>
    <w:lvl w:ilvl="5" w:tplc="040F001B" w:tentative="1">
      <w:start w:val="1"/>
      <w:numFmt w:val="lowerRoman"/>
      <w:lvlText w:val="%6."/>
      <w:lvlJc w:val="right"/>
      <w:pPr>
        <w:ind w:left="3977" w:hanging="180"/>
      </w:pPr>
    </w:lvl>
    <w:lvl w:ilvl="6" w:tplc="040F000F" w:tentative="1">
      <w:start w:val="1"/>
      <w:numFmt w:val="decimal"/>
      <w:lvlText w:val="%7."/>
      <w:lvlJc w:val="left"/>
      <w:pPr>
        <w:ind w:left="4697" w:hanging="360"/>
      </w:pPr>
    </w:lvl>
    <w:lvl w:ilvl="7" w:tplc="040F0019" w:tentative="1">
      <w:start w:val="1"/>
      <w:numFmt w:val="lowerLetter"/>
      <w:lvlText w:val="%8."/>
      <w:lvlJc w:val="left"/>
      <w:pPr>
        <w:ind w:left="5417" w:hanging="360"/>
      </w:pPr>
    </w:lvl>
    <w:lvl w:ilvl="8" w:tplc="040F001B" w:tentative="1">
      <w:start w:val="1"/>
      <w:numFmt w:val="lowerRoman"/>
      <w:lvlText w:val="%9."/>
      <w:lvlJc w:val="right"/>
      <w:pPr>
        <w:ind w:left="6137" w:hanging="180"/>
      </w:pPr>
    </w:lvl>
  </w:abstractNum>
  <w:abstractNum w:abstractNumId="1"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2" w15:restartNumberingAfterBreak="0">
    <w:nsid w:val="1457064B"/>
    <w:multiLevelType w:val="hybridMultilevel"/>
    <w:tmpl w:val="EF54123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4" w15:restartNumberingAfterBreak="0">
    <w:nsid w:val="19CA0C35"/>
    <w:multiLevelType w:val="hybridMultilevel"/>
    <w:tmpl w:val="6E24E5F6"/>
    <w:lvl w:ilvl="0" w:tplc="95E2AEB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B866030"/>
    <w:multiLevelType w:val="hybridMultilevel"/>
    <w:tmpl w:val="CA34ACD8"/>
    <w:lvl w:ilvl="0" w:tplc="DA7E9E8C">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8" w15:restartNumberingAfterBreak="0">
    <w:nsid w:val="2C893FE5"/>
    <w:multiLevelType w:val="hybridMultilevel"/>
    <w:tmpl w:val="82F0ACB8"/>
    <w:lvl w:ilvl="0" w:tplc="DB14085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1B0748A"/>
    <w:multiLevelType w:val="hybridMultilevel"/>
    <w:tmpl w:val="437A1D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11" w15:restartNumberingAfterBreak="0">
    <w:nsid w:val="3EED4830"/>
    <w:multiLevelType w:val="hybridMultilevel"/>
    <w:tmpl w:val="CA34ACD8"/>
    <w:lvl w:ilvl="0" w:tplc="DA7E9E8C">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2"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13"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14" w15:restartNumberingAfterBreak="0">
    <w:nsid w:val="4B26306A"/>
    <w:multiLevelType w:val="hybridMultilevel"/>
    <w:tmpl w:val="878A5642"/>
    <w:lvl w:ilvl="0" w:tplc="A796A16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B2A4D42"/>
    <w:multiLevelType w:val="hybridMultilevel"/>
    <w:tmpl w:val="41885D98"/>
    <w:lvl w:ilvl="0" w:tplc="A7FAC66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B56463D"/>
    <w:multiLevelType w:val="hybridMultilevel"/>
    <w:tmpl w:val="3DF40772"/>
    <w:lvl w:ilvl="0" w:tplc="16DC65DC">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FD6539B"/>
    <w:multiLevelType w:val="hybridMultilevel"/>
    <w:tmpl w:val="E12E22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66C97301"/>
    <w:multiLevelType w:val="hybridMultilevel"/>
    <w:tmpl w:val="AF8E56D2"/>
    <w:lvl w:ilvl="0" w:tplc="32AA02F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60736"/>
    <w:multiLevelType w:val="hybridMultilevel"/>
    <w:tmpl w:val="437A1D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BD64DF3"/>
    <w:multiLevelType w:val="hybridMultilevel"/>
    <w:tmpl w:val="D0F866FE"/>
    <w:lvl w:ilvl="0" w:tplc="6D2EE41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F737072"/>
    <w:multiLevelType w:val="hybridMultilevel"/>
    <w:tmpl w:val="FB4AFCE0"/>
    <w:lvl w:ilvl="0" w:tplc="FC46A88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2"/>
  </w:num>
  <w:num w:numId="2">
    <w:abstractNumId w:val="16"/>
  </w:num>
  <w:num w:numId="3">
    <w:abstractNumId w:val="6"/>
  </w:num>
  <w:num w:numId="4">
    <w:abstractNumId w:val="1"/>
  </w:num>
  <w:num w:numId="5">
    <w:abstractNumId w:val="10"/>
  </w:num>
  <w:num w:numId="6">
    <w:abstractNumId w:val="5"/>
  </w:num>
  <w:num w:numId="7">
    <w:abstractNumId w:val="19"/>
  </w:num>
  <w:num w:numId="8">
    <w:abstractNumId w:val="20"/>
  </w:num>
  <w:num w:numId="9">
    <w:abstractNumId w:val="13"/>
  </w:num>
  <w:num w:numId="10">
    <w:abstractNumId w:val="3"/>
  </w:num>
  <w:num w:numId="11">
    <w:abstractNumId w:val="25"/>
  </w:num>
  <w:num w:numId="12">
    <w:abstractNumId w:val="12"/>
  </w:num>
  <w:num w:numId="13">
    <w:abstractNumId w:val="27"/>
  </w:num>
  <w:num w:numId="14">
    <w:abstractNumId w:val="15"/>
  </w:num>
  <w:num w:numId="15">
    <w:abstractNumId w:val="17"/>
  </w:num>
  <w:num w:numId="16">
    <w:abstractNumId w:val="21"/>
  </w:num>
  <w:num w:numId="17">
    <w:abstractNumId w:val="0"/>
  </w:num>
  <w:num w:numId="18">
    <w:abstractNumId w:val="14"/>
  </w:num>
  <w:num w:numId="19">
    <w:abstractNumId w:val="4"/>
  </w:num>
  <w:num w:numId="20">
    <w:abstractNumId w:val="24"/>
  </w:num>
  <w:num w:numId="21">
    <w:abstractNumId w:val="26"/>
  </w:num>
  <w:num w:numId="22">
    <w:abstractNumId w:val="11"/>
  </w:num>
  <w:num w:numId="23">
    <w:abstractNumId w:val="9"/>
  </w:num>
  <w:num w:numId="24">
    <w:abstractNumId w:val="23"/>
  </w:num>
  <w:num w:numId="25">
    <w:abstractNumId w:val="2"/>
  </w:num>
  <w:num w:numId="26">
    <w:abstractNumId w:val="18"/>
  </w:num>
  <w:num w:numId="27">
    <w:abstractNumId w:val="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onsecutiveHyphenLimit w:val="4"/>
  <w:hyphenationZone w:val="425"/>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321F"/>
    <w:rsid w:val="00004000"/>
    <w:rsid w:val="000117D6"/>
    <w:rsid w:val="000472F2"/>
    <w:rsid w:val="00071910"/>
    <w:rsid w:val="0008056E"/>
    <w:rsid w:val="000969A7"/>
    <w:rsid w:val="000C4A85"/>
    <w:rsid w:val="000E3F84"/>
    <w:rsid w:val="00110951"/>
    <w:rsid w:val="00112D07"/>
    <w:rsid w:val="0011486D"/>
    <w:rsid w:val="00115C50"/>
    <w:rsid w:val="00116B21"/>
    <w:rsid w:val="00145496"/>
    <w:rsid w:val="0014761D"/>
    <w:rsid w:val="0015527B"/>
    <w:rsid w:val="00166A8A"/>
    <w:rsid w:val="00173F0B"/>
    <w:rsid w:val="001900B4"/>
    <w:rsid w:val="001A16B9"/>
    <w:rsid w:val="001A4B41"/>
    <w:rsid w:val="001C014B"/>
    <w:rsid w:val="001E5E3E"/>
    <w:rsid w:val="00201789"/>
    <w:rsid w:val="0020489E"/>
    <w:rsid w:val="0022097D"/>
    <w:rsid w:val="0023476A"/>
    <w:rsid w:val="0027081A"/>
    <w:rsid w:val="00274D4A"/>
    <w:rsid w:val="002776DC"/>
    <w:rsid w:val="002834C2"/>
    <w:rsid w:val="002C14F6"/>
    <w:rsid w:val="002C1F03"/>
    <w:rsid w:val="002C4DEE"/>
    <w:rsid w:val="002D383E"/>
    <w:rsid w:val="002D5752"/>
    <w:rsid w:val="002E73A5"/>
    <w:rsid w:val="002F42A8"/>
    <w:rsid w:val="002F4DE5"/>
    <w:rsid w:val="00300E21"/>
    <w:rsid w:val="0034708D"/>
    <w:rsid w:val="003530CE"/>
    <w:rsid w:val="0037551E"/>
    <w:rsid w:val="0038196C"/>
    <w:rsid w:val="003874FD"/>
    <w:rsid w:val="00396E77"/>
    <w:rsid w:val="003A68A0"/>
    <w:rsid w:val="003A6ACB"/>
    <w:rsid w:val="003B26F8"/>
    <w:rsid w:val="003B7EF8"/>
    <w:rsid w:val="003F7D69"/>
    <w:rsid w:val="00400584"/>
    <w:rsid w:val="004055BE"/>
    <w:rsid w:val="00426D5F"/>
    <w:rsid w:val="00453322"/>
    <w:rsid w:val="00453E1B"/>
    <w:rsid w:val="00472427"/>
    <w:rsid w:val="0048155C"/>
    <w:rsid w:val="004B390F"/>
    <w:rsid w:val="004C2AD6"/>
    <w:rsid w:val="004F7A17"/>
    <w:rsid w:val="00553173"/>
    <w:rsid w:val="00590697"/>
    <w:rsid w:val="005A29F9"/>
    <w:rsid w:val="005B6EED"/>
    <w:rsid w:val="005F58FF"/>
    <w:rsid w:val="00606C30"/>
    <w:rsid w:val="00616F56"/>
    <w:rsid w:val="00620C4C"/>
    <w:rsid w:val="00625694"/>
    <w:rsid w:val="00646C80"/>
    <w:rsid w:val="00662A42"/>
    <w:rsid w:val="006743E4"/>
    <w:rsid w:val="00685FFA"/>
    <w:rsid w:val="006903A6"/>
    <w:rsid w:val="00695FBC"/>
    <w:rsid w:val="006A09C0"/>
    <w:rsid w:val="006C5373"/>
    <w:rsid w:val="006C70F2"/>
    <w:rsid w:val="006D7F78"/>
    <w:rsid w:val="00706462"/>
    <w:rsid w:val="00737D2D"/>
    <w:rsid w:val="00751105"/>
    <w:rsid w:val="00753BAC"/>
    <w:rsid w:val="00755030"/>
    <w:rsid w:val="00760BE8"/>
    <w:rsid w:val="007B0B36"/>
    <w:rsid w:val="007B4FD3"/>
    <w:rsid w:val="007B5B30"/>
    <w:rsid w:val="007E3186"/>
    <w:rsid w:val="007E461F"/>
    <w:rsid w:val="007F6312"/>
    <w:rsid w:val="008102DF"/>
    <w:rsid w:val="00813C74"/>
    <w:rsid w:val="00843318"/>
    <w:rsid w:val="00850094"/>
    <w:rsid w:val="00852758"/>
    <w:rsid w:val="008542D8"/>
    <w:rsid w:val="00872C2D"/>
    <w:rsid w:val="00884E14"/>
    <w:rsid w:val="00892AA7"/>
    <w:rsid w:val="008D2569"/>
    <w:rsid w:val="00911C1E"/>
    <w:rsid w:val="00934E11"/>
    <w:rsid w:val="00955152"/>
    <w:rsid w:val="0096481A"/>
    <w:rsid w:val="009B6F21"/>
    <w:rsid w:val="009C2663"/>
    <w:rsid w:val="009D0B31"/>
    <w:rsid w:val="009D541A"/>
    <w:rsid w:val="009E1659"/>
    <w:rsid w:val="00A6629E"/>
    <w:rsid w:val="00A861F4"/>
    <w:rsid w:val="00B271B8"/>
    <w:rsid w:val="00B724CE"/>
    <w:rsid w:val="00B75D56"/>
    <w:rsid w:val="00B851E6"/>
    <w:rsid w:val="00B97C91"/>
    <w:rsid w:val="00BC4587"/>
    <w:rsid w:val="00BF72D5"/>
    <w:rsid w:val="00C018AD"/>
    <w:rsid w:val="00C50053"/>
    <w:rsid w:val="00C5268A"/>
    <w:rsid w:val="00C555A0"/>
    <w:rsid w:val="00C7686E"/>
    <w:rsid w:val="00C83A85"/>
    <w:rsid w:val="00CB34D8"/>
    <w:rsid w:val="00CD20EA"/>
    <w:rsid w:val="00CD5159"/>
    <w:rsid w:val="00CF771D"/>
    <w:rsid w:val="00D16F4E"/>
    <w:rsid w:val="00D65CD9"/>
    <w:rsid w:val="00D70593"/>
    <w:rsid w:val="00D94D99"/>
    <w:rsid w:val="00D95E52"/>
    <w:rsid w:val="00DB324A"/>
    <w:rsid w:val="00DE116E"/>
    <w:rsid w:val="00DF0B2D"/>
    <w:rsid w:val="00E1322B"/>
    <w:rsid w:val="00E25477"/>
    <w:rsid w:val="00E272DD"/>
    <w:rsid w:val="00E31A76"/>
    <w:rsid w:val="00E62101"/>
    <w:rsid w:val="00E8597A"/>
    <w:rsid w:val="00E90779"/>
    <w:rsid w:val="00EB1F15"/>
    <w:rsid w:val="00EB2C0B"/>
    <w:rsid w:val="00EF0CBF"/>
    <w:rsid w:val="00EF7920"/>
    <w:rsid w:val="00F256B2"/>
    <w:rsid w:val="00F54225"/>
    <w:rsid w:val="00F54F76"/>
    <w:rsid w:val="00F72C3C"/>
    <w:rsid w:val="00F75224"/>
    <w:rsid w:val="00FA026D"/>
    <w:rsid w:val="00FC7D1D"/>
    <w:rsid w:val="00FE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892AA7"/>
    <w:pPr>
      <w:spacing w:line="180" w:lineRule="exact"/>
      <w:ind w:left="284" w:hanging="284"/>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character" w:styleId="BookTitle">
    <w:name w:val="Book Title"/>
    <w:basedOn w:val="DefaultParagraphFont"/>
    <w:uiPriority w:val="33"/>
    <w:qFormat/>
    <w:rsid w:val="00C555A0"/>
    <w:rPr>
      <w:b/>
      <w:bCs/>
      <w:smallCaps/>
      <w:spacing w:val="10"/>
    </w:rPr>
  </w:style>
  <w:style w:type="paragraph" w:styleId="TOCHeading">
    <w:name w:val="TOC Heading"/>
    <w:basedOn w:val="Heading1"/>
    <w:next w:val="Normal"/>
    <w:uiPriority w:val="39"/>
    <w:semiHidden/>
    <w:unhideWhenUsed/>
    <w:qFormat/>
    <w:rsid w:val="00300E21"/>
    <w:pPr>
      <w:spacing w:before="400" w:after="40"/>
      <w:outlineLvl w:val="9"/>
    </w:pPr>
    <w:rPr>
      <w:color w:val="616163" w:themeColor="accent1" w:themeShade="80"/>
      <w:sz w:val="36"/>
      <w:szCs w:val="36"/>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EB6E75-65F7-4C99-B9CC-65EC634F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268</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66</cp:revision>
  <cp:lastPrinted>2020-02-10T13:55:00Z</cp:lastPrinted>
  <dcterms:created xsi:type="dcterms:W3CDTF">2020-01-21T10:14:00Z</dcterms:created>
  <dcterms:modified xsi:type="dcterms:W3CDTF">2020-05-05T08:34:00Z</dcterms:modified>
</cp:coreProperties>
</file>