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E802D0" w:rsidRDefault="00B724CE" w:rsidP="00B724CE">
      <w:pPr>
        <w:pStyle w:val="FyrirsgnrauFMEbaratitill"/>
        <w:spacing w:after="120"/>
        <w:jc w:val="center"/>
        <w:rPr>
          <w:rFonts w:ascii="Times New Roman" w:hAnsi="Times New Roman" w:cs="Times New Roman"/>
          <w:color w:val="000000" w:themeColor="text1"/>
          <w:lang w:val="is-IS"/>
        </w:rPr>
      </w:pPr>
      <w:r w:rsidRPr="00E802D0">
        <w:rPr>
          <w:rFonts w:ascii="Times New Roman" w:hAnsi="Times New Roman" w:cs="Times New Roman"/>
          <w:color w:val="000000" w:themeColor="text1"/>
          <w:lang w:val="is-IS"/>
        </w:rPr>
        <w:t>14. VIÐAUKI</w:t>
      </w:r>
    </w:p>
    <w:p w:rsidR="004C4DCB" w:rsidRPr="00E802D0" w:rsidRDefault="004C4DCB" w:rsidP="004C4DCB">
      <w:pPr>
        <w:pStyle w:val="Meginml"/>
        <w:spacing w:after="0"/>
        <w:jc w:val="center"/>
        <w:rPr>
          <w:rFonts w:ascii="Times New Roman" w:hAnsi="Times New Roman" w:cs="Times New Roman"/>
          <w:sz w:val="24"/>
        </w:rPr>
      </w:pPr>
      <w:r w:rsidRPr="00E802D0">
        <w:rPr>
          <w:rFonts w:ascii="Times New Roman" w:hAnsi="Times New Roman" w:cs="Times New Roman"/>
          <w:sz w:val="24"/>
        </w:rPr>
        <w:t xml:space="preserve">VERÐBRÉFALÝSING FYRIR VERÐBRÉF SEM EKKI ERU </w:t>
      </w:r>
    </w:p>
    <w:p w:rsidR="004C4DCB" w:rsidRPr="00E802D0" w:rsidRDefault="004C4DCB" w:rsidP="004C4DCB">
      <w:pPr>
        <w:pStyle w:val="Meginml"/>
        <w:spacing w:after="0"/>
        <w:jc w:val="center"/>
        <w:rPr>
          <w:rFonts w:ascii="Times New Roman" w:hAnsi="Times New Roman" w:cs="Times New Roman"/>
          <w:sz w:val="24"/>
        </w:rPr>
      </w:pPr>
      <w:r w:rsidRPr="00E802D0">
        <w:rPr>
          <w:rFonts w:ascii="Times New Roman" w:hAnsi="Times New Roman" w:cs="Times New Roman"/>
          <w:sz w:val="24"/>
        </w:rPr>
        <w:t>HLUTABRÉFATENGD OG ERU FYRIR ALMENNA FJÁRFESTA</w:t>
      </w:r>
    </w:p>
    <w:p w:rsidR="007F6312" w:rsidRPr="00E802D0" w:rsidRDefault="00B724CE" w:rsidP="004C4DCB">
      <w:pPr>
        <w:pStyle w:val="KaflaheitiFME"/>
        <w:spacing w:before="120"/>
        <w:jc w:val="center"/>
        <w:rPr>
          <w:rFonts w:ascii="Times New Roman" w:hAnsi="Times New Roman" w:cs="Times New Roman"/>
          <w:sz w:val="20"/>
          <w:szCs w:val="20"/>
          <w:lang w:val="is-IS"/>
        </w:rPr>
      </w:pPr>
      <w:r w:rsidRPr="00E802D0">
        <w:rPr>
          <w:rFonts w:ascii="Times New Roman" w:hAnsi="Times New Roman" w:cs="Times New Roman"/>
          <w:sz w:val="20"/>
          <w:szCs w:val="20"/>
          <w:lang w:val="is-IS"/>
        </w:rPr>
        <w:t>FRAMSELD REGL</w:t>
      </w:r>
      <w:r w:rsidR="00270D4A" w:rsidRPr="00E802D0">
        <w:rPr>
          <w:rFonts w:ascii="Times New Roman" w:hAnsi="Times New Roman" w:cs="Times New Roman"/>
          <w:sz w:val="20"/>
          <w:szCs w:val="20"/>
          <w:lang w:val="is-IS"/>
        </w:rPr>
        <w:t>U</w:t>
      </w:r>
      <w:r w:rsidRPr="00E802D0">
        <w:rPr>
          <w:rFonts w:ascii="Times New Roman" w:hAnsi="Times New Roman" w:cs="Times New Roman"/>
          <w:sz w:val="20"/>
          <w:szCs w:val="20"/>
          <w:lang w:val="is-IS"/>
        </w:rPr>
        <w:t>GERÐ FRAMKVÆMDASTJÓRNARINNAR (ESB) 2019/980</w:t>
      </w:r>
    </w:p>
    <w:p w:rsidR="004C4DCB" w:rsidRPr="00E802D0" w:rsidRDefault="004C4DCB" w:rsidP="004C4DCB">
      <w:pPr>
        <w:pStyle w:val="Meginml"/>
        <w:rPr>
          <w:rFonts w:ascii="Times New Roman" w:hAnsi="Times New Roman" w:cs="Times New Roman"/>
          <w:lang w:val="is-IS"/>
        </w:rPr>
      </w:pPr>
    </w:p>
    <w:p w:rsidR="00270D4A" w:rsidRPr="00E802D0" w:rsidRDefault="00270D4A" w:rsidP="00270D4A">
      <w:pPr>
        <w:pStyle w:val="Meginml"/>
        <w:rPr>
          <w:rFonts w:ascii="Times New Roman" w:hAnsi="Times New Roman" w:cs="Times New Roman"/>
          <w:lang w:val="is-IS"/>
        </w:rPr>
      </w:pPr>
      <w:r w:rsidRPr="00E802D0">
        <w:rPr>
          <w:rFonts w:ascii="Times New Roman" w:hAnsi="Times New Roman" w:cs="Times New Roman"/>
          <w:lang w:val="is-IS"/>
        </w:rPr>
        <w:t>Ef ósamræmi er á milli íslensks og ensks texta framseldrar reglugerðar framkvæmdastjórnarinnar (ESB) 2019/980 skal skýra íslenska textann með hliðsjón af enska textanum. Ef ósamræmi er á milli textans í þessu skjali og texta framseldrar reglugerðar framkvæmdastjórnarinnar (ESB) 2019/980 er það texti reglugerðarinnar sem gildir.</w:t>
      </w:r>
    </w:p>
    <w:p w:rsidR="007B4FD3" w:rsidRPr="00E802D0" w:rsidRDefault="007B4FD3" w:rsidP="007F6312">
      <w:pPr>
        <w:pStyle w:val="Meginml"/>
        <w:rPr>
          <w:rFonts w:ascii="Times New Roman" w:hAnsi="Times New Roman" w:cs="Times New Roman"/>
          <w:sz w:val="18"/>
          <w:szCs w:val="18"/>
          <w:lang w:val="is-IS"/>
        </w:rPr>
      </w:pPr>
    </w:p>
    <w:tbl>
      <w:tblPr>
        <w:tblStyle w:val="TableGrid"/>
        <w:tblW w:w="9360" w:type="dxa"/>
        <w:tblBorders>
          <w:left w:val="none" w:sz="0" w:space="0" w:color="auto"/>
          <w:right w:val="none" w:sz="0" w:space="0" w:color="auto"/>
        </w:tblBorders>
        <w:tblLook w:val="04A0" w:firstRow="1" w:lastRow="0" w:firstColumn="1" w:lastColumn="0" w:noHBand="0" w:noVBand="1"/>
      </w:tblPr>
      <w:tblGrid>
        <w:gridCol w:w="848"/>
        <w:gridCol w:w="1137"/>
        <w:gridCol w:w="6386"/>
        <w:gridCol w:w="989"/>
      </w:tblGrid>
      <w:tr w:rsidR="007B5B30" w:rsidRPr="00E802D0" w:rsidTr="00E802D0">
        <w:trPr>
          <w:trHeight w:val="567"/>
        </w:trPr>
        <w:tc>
          <w:tcPr>
            <w:tcW w:w="848" w:type="dxa"/>
          </w:tcPr>
          <w:p w:rsidR="007B5B30" w:rsidRPr="00E802D0" w:rsidRDefault="007B5B30" w:rsidP="007B5B30">
            <w:pPr>
              <w:pStyle w:val="Tflutexti"/>
              <w:spacing w:before="0"/>
              <w:jc w:val="left"/>
              <w:rPr>
                <w:rFonts w:ascii="Times New Roman" w:hAnsi="Times New Roman" w:cs="Times New Roman"/>
                <w:sz w:val="18"/>
                <w:szCs w:val="18"/>
              </w:rPr>
            </w:pPr>
            <w:r w:rsidRPr="00E802D0">
              <w:rPr>
                <w:rFonts w:ascii="Times New Roman" w:hAnsi="Times New Roman" w:cs="Times New Roman"/>
                <w:sz w:val="18"/>
                <w:szCs w:val="18"/>
              </w:rPr>
              <w:t>Kafli nr.</w:t>
            </w:r>
          </w:p>
          <w:p w:rsidR="007B4FD3" w:rsidRPr="00E802D0" w:rsidRDefault="007B5B30" w:rsidP="007B5B30">
            <w:pPr>
              <w:pStyle w:val="Tflutexti"/>
              <w:spacing w:before="0" w:line="240" w:lineRule="auto"/>
              <w:jc w:val="left"/>
              <w:rPr>
                <w:rFonts w:ascii="Times New Roman" w:hAnsi="Times New Roman" w:cs="Times New Roman"/>
                <w:sz w:val="18"/>
                <w:szCs w:val="18"/>
              </w:rPr>
            </w:pPr>
            <w:r w:rsidRPr="00E802D0">
              <w:rPr>
                <w:rFonts w:ascii="Times New Roman" w:hAnsi="Times New Roman" w:cs="Times New Roman"/>
                <w:sz w:val="18"/>
                <w:szCs w:val="18"/>
              </w:rPr>
              <w:t>Bls. nr.</w:t>
            </w:r>
          </w:p>
        </w:tc>
        <w:tc>
          <w:tcPr>
            <w:tcW w:w="1137" w:type="dxa"/>
          </w:tcPr>
          <w:p w:rsidR="007B4FD3" w:rsidRPr="00E802D0" w:rsidRDefault="007B5B30" w:rsidP="007B5B30">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1. ÞÁTTUR</w:t>
            </w:r>
          </w:p>
        </w:tc>
        <w:tc>
          <w:tcPr>
            <w:tcW w:w="6386" w:type="dxa"/>
            <w:tcBorders>
              <w:right w:val="nil"/>
            </w:tcBorders>
          </w:tcPr>
          <w:p w:rsidR="007B4FD3" w:rsidRPr="00E802D0" w:rsidRDefault="007B5B30" w:rsidP="007B5B30">
            <w:pPr>
              <w:pStyle w:val="Tflutexti"/>
              <w:spacing w:line="240" w:lineRule="auto"/>
              <w:jc w:val="left"/>
              <w:rPr>
                <w:rFonts w:ascii="Times New Roman" w:hAnsi="Times New Roman" w:cs="Times New Roman"/>
                <w:sz w:val="18"/>
                <w:szCs w:val="18"/>
              </w:rPr>
            </w:pPr>
            <w:r w:rsidRPr="00E802D0">
              <w:rPr>
                <w:rFonts w:ascii="Times New Roman" w:hAnsi="Times New Roman" w:cs="Times New Roman"/>
                <w:sz w:val="18"/>
                <w:szCs w:val="18"/>
              </w:rPr>
              <w:t>AÐILAR SEM BERA ÁBYRGÐ, UPPLÝSINGAR FRÁ ÞRIÐJU AÐILUM, SKÝRSLUR SÉRFRÆÐINGA OG STAÐFESTING LÖGBÆRS YFIRVALDS</w:t>
            </w:r>
          </w:p>
        </w:tc>
        <w:tc>
          <w:tcPr>
            <w:tcW w:w="989" w:type="dxa"/>
            <w:tcBorders>
              <w:left w:val="nil"/>
            </w:tcBorders>
          </w:tcPr>
          <w:p w:rsidR="007B4FD3" w:rsidRPr="00E802D0" w:rsidRDefault="007B4FD3" w:rsidP="007B5B30">
            <w:pPr>
              <w:pStyle w:val="Tflutexti"/>
              <w:spacing w:before="240" w:line="240" w:lineRule="auto"/>
              <w:rPr>
                <w:rFonts w:ascii="Times New Roman" w:hAnsi="Times New Roman" w:cs="Times New Roman"/>
                <w:sz w:val="18"/>
                <w:szCs w:val="18"/>
              </w:rPr>
            </w:pPr>
          </w:p>
        </w:tc>
      </w:tr>
      <w:tr w:rsidR="007B5B30" w:rsidRPr="00E802D0" w:rsidTr="00E802D0">
        <w:trPr>
          <w:trHeight w:val="567"/>
        </w:trPr>
        <w:tc>
          <w:tcPr>
            <w:tcW w:w="848" w:type="dxa"/>
          </w:tcPr>
          <w:p w:rsidR="007B4FD3" w:rsidRPr="00E802D0" w:rsidRDefault="007B4FD3" w:rsidP="007B5B30">
            <w:pPr>
              <w:pStyle w:val="Tflutexti"/>
              <w:spacing w:before="240" w:line="240" w:lineRule="auto"/>
              <w:rPr>
                <w:rFonts w:ascii="Times New Roman" w:hAnsi="Times New Roman" w:cs="Times New Roman"/>
                <w:sz w:val="18"/>
                <w:szCs w:val="18"/>
              </w:rPr>
            </w:pPr>
          </w:p>
        </w:tc>
        <w:tc>
          <w:tcPr>
            <w:tcW w:w="1137" w:type="dxa"/>
          </w:tcPr>
          <w:p w:rsidR="007B4FD3" w:rsidRPr="00E802D0" w:rsidRDefault="007B5B30" w:rsidP="007B5B30">
            <w:pPr>
              <w:pStyle w:val="Tflutexti"/>
              <w:spacing w:before="240" w:line="240" w:lineRule="auto"/>
              <w:rPr>
                <w:rFonts w:ascii="Times New Roman" w:hAnsi="Times New Roman" w:cs="Times New Roman"/>
                <w:sz w:val="18"/>
                <w:szCs w:val="18"/>
              </w:rPr>
            </w:pPr>
            <w:r w:rsidRPr="00E802D0">
              <w:rPr>
                <w:rFonts w:ascii="Times New Roman" w:hAnsi="Times New Roman" w:cs="Times New Roman"/>
                <w:sz w:val="18"/>
                <w:szCs w:val="18"/>
              </w:rPr>
              <w:t>Liður 1.1.</w:t>
            </w:r>
          </w:p>
        </w:tc>
        <w:tc>
          <w:tcPr>
            <w:tcW w:w="6386" w:type="dxa"/>
          </w:tcPr>
          <w:p w:rsidR="007B4FD3" w:rsidRPr="00E802D0" w:rsidRDefault="007B5B30" w:rsidP="002834C2">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Tilgreina skal alla þá sem bera ábyrgð á þeim upplýsingum eða einhverjum hlutum þeirra sem veittar eru í verðbréfalýsingunni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c>
          <w:tcPr>
            <w:tcW w:w="989" w:type="dxa"/>
          </w:tcPr>
          <w:p w:rsidR="007B4FD3" w:rsidRPr="00E802D0" w:rsidRDefault="007B5B30" w:rsidP="007B5B30">
            <w:pPr>
              <w:pStyle w:val="Tflutexti"/>
              <w:spacing w:before="24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7B5B30" w:rsidRPr="00E802D0" w:rsidTr="00E802D0">
        <w:trPr>
          <w:trHeight w:val="567"/>
        </w:trPr>
        <w:tc>
          <w:tcPr>
            <w:tcW w:w="848" w:type="dxa"/>
          </w:tcPr>
          <w:p w:rsidR="007B4FD3" w:rsidRPr="00E802D0" w:rsidRDefault="007B4FD3" w:rsidP="007B5B30">
            <w:pPr>
              <w:pStyle w:val="Tflutexti"/>
              <w:spacing w:before="240" w:line="240" w:lineRule="auto"/>
              <w:rPr>
                <w:rFonts w:ascii="Times New Roman" w:hAnsi="Times New Roman" w:cs="Times New Roman"/>
                <w:sz w:val="18"/>
                <w:szCs w:val="18"/>
              </w:rPr>
            </w:pPr>
          </w:p>
        </w:tc>
        <w:tc>
          <w:tcPr>
            <w:tcW w:w="1137" w:type="dxa"/>
          </w:tcPr>
          <w:p w:rsidR="007B4FD3" w:rsidRPr="00E802D0" w:rsidRDefault="007B5B30" w:rsidP="007B5B30">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1.2.</w:t>
            </w:r>
          </w:p>
        </w:tc>
        <w:tc>
          <w:tcPr>
            <w:tcW w:w="6386" w:type="dxa"/>
          </w:tcPr>
          <w:p w:rsidR="007B5B30" w:rsidRPr="00E802D0" w:rsidRDefault="007B5B30" w:rsidP="007B5B30">
            <w:pPr>
              <w:pStyle w:val="Tflutexti"/>
              <w:rPr>
                <w:rFonts w:ascii="Times New Roman" w:hAnsi="Times New Roman" w:cs="Times New Roman"/>
                <w:sz w:val="18"/>
                <w:szCs w:val="18"/>
              </w:rPr>
            </w:pPr>
            <w:r w:rsidRPr="00E802D0">
              <w:rPr>
                <w:rFonts w:ascii="Times New Roman" w:hAnsi="Times New Roman" w:cs="Times New Roman"/>
                <w:sz w:val="18"/>
                <w:szCs w:val="18"/>
              </w:rPr>
              <w:t>Yfirlýsing þeirra sem bera ábyrgð á verðbréfalýsingunni þess efnis að samkvæmt þeirra bestu vitund séu upplýsingarnar í verðbréfalýsingunni í samræmi við staðreyndir og að engum upplýsingum sé sleppt úr verðbréfalýsingunni sem gætu haft áhrif á áreiðanleika hennar.</w:t>
            </w:r>
          </w:p>
          <w:p w:rsidR="007B4FD3" w:rsidRPr="00E802D0" w:rsidRDefault="007B5B30" w:rsidP="002834C2">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Eftir atvikum, yfirlýsing þeirra sem bera ábyrgð á tilteknum hlutum verðbréfalýsingarinnar þess efnis að samkvæmt þeirra bestu vitund séu upplýsingarnar í þeim hlutum verðbréfalýsingarinnar sem þeir bera ábyrgð á, í samræmi við staðreyndir og að engum upplýsingum sé sleppt úr þeim hlutum sem gætu haft áhrif á áreiðanleika hennar.</w:t>
            </w:r>
          </w:p>
        </w:tc>
        <w:tc>
          <w:tcPr>
            <w:tcW w:w="989" w:type="dxa"/>
          </w:tcPr>
          <w:p w:rsidR="007B4FD3" w:rsidRPr="00E802D0" w:rsidRDefault="007B5B30" w:rsidP="007B5B30">
            <w:pPr>
              <w:pStyle w:val="Tflutexti"/>
              <w:spacing w:before="24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7B5B30" w:rsidRPr="00E802D0" w:rsidTr="00E802D0">
        <w:trPr>
          <w:trHeight w:val="567"/>
        </w:trPr>
        <w:tc>
          <w:tcPr>
            <w:tcW w:w="848" w:type="dxa"/>
          </w:tcPr>
          <w:p w:rsidR="007B4FD3" w:rsidRPr="00E802D0" w:rsidRDefault="007B4FD3" w:rsidP="007B5B30">
            <w:pPr>
              <w:pStyle w:val="Tflutexti"/>
              <w:spacing w:before="240" w:line="240" w:lineRule="auto"/>
              <w:rPr>
                <w:rFonts w:ascii="Times New Roman" w:hAnsi="Times New Roman" w:cs="Times New Roman"/>
                <w:sz w:val="18"/>
                <w:szCs w:val="18"/>
              </w:rPr>
            </w:pPr>
          </w:p>
        </w:tc>
        <w:tc>
          <w:tcPr>
            <w:tcW w:w="1137" w:type="dxa"/>
          </w:tcPr>
          <w:p w:rsidR="007B4FD3" w:rsidRPr="00E802D0" w:rsidRDefault="007B5B30" w:rsidP="007B5B30">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1.3.</w:t>
            </w:r>
          </w:p>
        </w:tc>
        <w:tc>
          <w:tcPr>
            <w:tcW w:w="6386" w:type="dxa"/>
          </w:tcPr>
          <w:p w:rsidR="007B5B30" w:rsidRPr="00E802D0" w:rsidRDefault="007B5B30" w:rsidP="007B5B30">
            <w:pPr>
              <w:pStyle w:val="Tflutexti"/>
              <w:rPr>
                <w:rFonts w:ascii="Times New Roman" w:hAnsi="Times New Roman" w:cs="Times New Roman"/>
                <w:sz w:val="18"/>
                <w:szCs w:val="18"/>
              </w:rPr>
            </w:pPr>
            <w:r w:rsidRPr="00E802D0">
              <w:rPr>
                <w:rFonts w:ascii="Times New Roman" w:hAnsi="Times New Roman" w:cs="Times New Roman"/>
                <w:sz w:val="18"/>
                <w:szCs w:val="18"/>
              </w:rPr>
              <w:t>Hafi verðbréfalýsing að geyma yfirlýsingu eða greinargerð frá sérfræðingi skal veita eftirfarandi upplýsingar um þann aðila:</w:t>
            </w:r>
          </w:p>
          <w:p w:rsidR="007B5B30" w:rsidRPr="00E802D0" w:rsidRDefault="007B5B30" w:rsidP="007B5B30">
            <w:pPr>
              <w:pStyle w:val="Tflutexti"/>
              <w:spacing w:before="0" w:after="0"/>
              <w:ind w:left="309" w:hanging="283"/>
              <w:rPr>
                <w:rFonts w:ascii="Times New Roman" w:hAnsi="Times New Roman" w:cs="Times New Roman"/>
                <w:sz w:val="18"/>
                <w:szCs w:val="18"/>
              </w:rPr>
            </w:pPr>
            <w:r w:rsidRPr="00E802D0">
              <w:rPr>
                <w:rFonts w:ascii="Times New Roman" w:hAnsi="Times New Roman" w:cs="Times New Roman"/>
                <w:sz w:val="18"/>
                <w:szCs w:val="18"/>
              </w:rPr>
              <w:t>a)</w:t>
            </w:r>
            <w:r w:rsidRPr="00E802D0">
              <w:rPr>
                <w:rFonts w:ascii="Times New Roman" w:hAnsi="Times New Roman" w:cs="Times New Roman"/>
                <w:sz w:val="18"/>
                <w:szCs w:val="18"/>
              </w:rPr>
              <w:tab/>
              <w:t>nafn,</w:t>
            </w:r>
          </w:p>
          <w:p w:rsidR="007B5B30" w:rsidRPr="00E802D0" w:rsidRDefault="007B5B30" w:rsidP="007B5B30">
            <w:pPr>
              <w:pStyle w:val="Tflutexti"/>
              <w:spacing w:before="0" w:after="0"/>
              <w:ind w:left="309" w:hanging="283"/>
              <w:rPr>
                <w:rFonts w:ascii="Times New Roman" w:hAnsi="Times New Roman" w:cs="Times New Roman"/>
                <w:sz w:val="18"/>
                <w:szCs w:val="18"/>
              </w:rPr>
            </w:pPr>
            <w:r w:rsidRPr="00E802D0">
              <w:rPr>
                <w:rFonts w:ascii="Times New Roman" w:hAnsi="Times New Roman" w:cs="Times New Roman"/>
                <w:sz w:val="18"/>
                <w:szCs w:val="18"/>
              </w:rPr>
              <w:t>b)</w:t>
            </w:r>
            <w:r w:rsidRPr="00E802D0">
              <w:rPr>
                <w:rFonts w:ascii="Times New Roman" w:hAnsi="Times New Roman" w:cs="Times New Roman"/>
                <w:sz w:val="18"/>
                <w:szCs w:val="18"/>
              </w:rPr>
              <w:tab/>
              <w:t>heimilisfang starfsstöðvar,</w:t>
            </w:r>
          </w:p>
          <w:p w:rsidR="007B5B30" w:rsidRPr="00E802D0" w:rsidRDefault="007B5B30" w:rsidP="007B5B30">
            <w:pPr>
              <w:pStyle w:val="Tflutexti"/>
              <w:spacing w:before="0" w:after="0"/>
              <w:ind w:left="309" w:hanging="283"/>
              <w:rPr>
                <w:rFonts w:ascii="Times New Roman" w:hAnsi="Times New Roman" w:cs="Times New Roman"/>
                <w:sz w:val="18"/>
                <w:szCs w:val="18"/>
              </w:rPr>
            </w:pPr>
            <w:r w:rsidRPr="00E802D0">
              <w:rPr>
                <w:rFonts w:ascii="Times New Roman" w:hAnsi="Times New Roman" w:cs="Times New Roman"/>
                <w:sz w:val="18"/>
                <w:szCs w:val="18"/>
              </w:rPr>
              <w:t>c)</w:t>
            </w:r>
            <w:r w:rsidRPr="00E802D0">
              <w:rPr>
                <w:rFonts w:ascii="Times New Roman" w:hAnsi="Times New Roman" w:cs="Times New Roman"/>
                <w:sz w:val="18"/>
                <w:szCs w:val="18"/>
              </w:rPr>
              <w:tab/>
              <w:t>menntun og hæfi,</w:t>
            </w:r>
          </w:p>
          <w:p w:rsidR="007B5B30" w:rsidRPr="00E802D0" w:rsidRDefault="007B5B30" w:rsidP="007B5B30">
            <w:pPr>
              <w:pStyle w:val="Tflutexti"/>
              <w:spacing w:before="0" w:after="0"/>
              <w:ind w:left="309" w:hanging="283"/>
              <w:rPr>
                <w:rFonts w:ascii="Times New Roman" w:hAnsi="Times New Roman" w:cs="Times New Roman"/>
                <w:sz w:val="18"/>
                <w:szCs w:val="18"/>
              </w:rPr>
            </w:pPr>
            <w:r w:rsidRPr="00E802D0">
              <w:rPr>
                <w:rFonts w:ascii="Times New Roman" w:hAnsi="Times New Roman" w:cs="Times New Roman"/>
                <w:sz w:val="18"/>
                <w:szCs w:val="18"/>
              </w:rPr>
              <w:t>d)</w:t>
            </w:r>
            <w:r w:rsidRPr="00E802D0">
              <w:rPr>
                <w:rFonts w:ascii="Times New Roman" w:hAnsi="Times New Roman" w:cs="Times New Roman"/>
                <w:sz w:val="18"/>
                <w:szCs w:val="18"/>
              </w:rPr>
              <w:tab/>
              <w:t>verulegir hagsmunir sem hann á að gæta í útgefanda, ef einhverjir eru.</w:t>
            </w:r>
          </w:p>
          <w:p w:rsidR="007B4FD3" w:rsidRPr="00E802D0" w:rsidRDefault="007B5B30" w:rsidP="002834C2">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Hafi yfirlýsingin eða greinargerðin verið gerð að beiðni útgefandans skal taka fram að sú yfirlýsing eða greinargerð fylgi með í verðbréfalýsingunni með samþykki þess aðila sem heimilaði efni þess hluta verðbréfalýsingarinnar vegna lýsingarinnar.</w:t>
            </w:r>
          </w:p>
        </w:tc>
        <w:tc>
          <w:tcPr>
            <w:tcW w:w="989" w:type="dxa"/>
          </w:tcPr>
          <w:p w:rsidR="007B4FD3" w:rsidRPr="00E802D0" w:rsidRDefault="007B5B30" w:rsidP="007B5B30">
            <w:pPr>
              <w:pStyle w:val="Tflutexti"/>
              <w:spacing w:before="24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7B5B30" w:rsidRPr="00E802D0" w:rsidTr="00E802D0">
        <w:trPr>
          <w:trHeight w:val="567"/>
        </w:trPr>
        <w:tc>
          <w:tcPr>
            <w:tcW w:w="848" w:type="dxa"/>
          </w:tcPr>
          <w:p w:rsidR="007B4FD3" w:rsidRPr="00E802D0" w:rsidRDefault="007B4FD3" w:rsidP="007B5B30">
            <w:pPr>
              <w:pStyle w:val="Tflutexti"/>
              <w:spacing w:before="240" w:line="240" w:lineRule="auto"/>
              <w:rPr>
                <w:rFonts w:ascii="Times New Roman" w:hAnsi="Times New Roman" w:cs="Times New Roman"/>
                <w:sz w:val="18"/>
                <w:szCs w:val="18"/>
              </w:rPr>
            </w:pPr>
          </w:p>
        </w:tc>
        <w:tc>
          <w:tcPr>
            <w:tcW w:w="1137" w:type="dxa"/>
          </w:tcPr>
          <w:p w:rsidR="007B4FD3" w:rsidRPr="00E802D0" w:rsidRDefault="00737D2D" w:rsidP="007B5B30">
            <w:pPr>
              <w:pStyle w:val="Tflutexti"/>
              <w:spacing w:before="240" w:line="240" w:lineRule="auto"/>
              <w:rPr>
                <w:rFonts w:ascii="Times New Roman" w:hAnsi="Times New Roman" w:cs="Times New Roman"/>
                <w:sz w:val="18"/>
                <w:szCs w:val="18"/>
              </w:rPr>
            </w:pPr>
            <w:r w:rsidRPr="00E802D0">
              <w:rPr>
                <w:rFonts w:ascii="Times New Roman" w:hAnsi="Times New Roman" w:cs="Times New Roman"/>
                <w:sz w:val="18"/>
                <w:szCs w:val="18"/>
              </w:rPr>
              <w:t>Liður 1.4.</w:t>
            </w:r>
          </w:p>
        </w:tc>
        <w:tc>
          <w:tcPr>
            <w:tcW w:w="6386" w:type="dxa"/>
          </w:tcPr>
          <w:p w:rsidR="007B4FD3" w:rsidRPr="00E802D0" w:rsidRDefault="00737D2D" w:rsidP="002834C2">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c>
          <w:tcPr>
            <w:tcW w:w="989" w:type="dxa"/>
          </w:tcPr>
          <w:p w:rsidR="007B4FD3" w:rsidRPr="00E802D0" w:rsidRDefault="00737D2D" w:rsidP="007B5B30">
            <w:pPr>
              <w:pStyle w:val="Tflutexti"/>
              <w:spacing w:before="24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2E73A5" w:rsidRPr="00E802D0" w:rsidTr="00E802D0">
        <w:trPr>
          <w:trHeight w:val="567"/>
        </w:trPr>
        <w:tc>
          <w:tcPr>
            <w:tcW w:w="848" w:type="dxa"/>
          </w:tcPr>
          <w:p w:rsidR="002E73A5" w:rsidRPr="00E802D0" w:rsidRDefault="002E73A5" w:rsidP="007B5B30">
            <w:pPr>
              <w:pStyle w:val="Tflutexti"/>
              <w:spacing w:before="240" w:line="240" w:lineRule="auto"/>
              <w:rPr>
                <w:rFonts w:ascii="Times New Roman" w:hAnsi="Times New Roman" w:cs="Times New Roman"/>
                <w:sz w:val="18"/>
                <w:szCs w:val="18"/>
              </w:rPr>
            </w:pPr>
          </w:p>
        </w:tc>
        <w:tc>
          <w:tcPr>
            <w:tcW w:w="1137" w:type="dxa"/>
          </w:tcPr>
          <w:p w:rsidR="002E73A5" w:rsidRPr="00E802D0" w:rsidRDefault="002E73A5" w:rsidP="002E73A5">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1.5.</w:t>
            </w:r>
          </w:p>
        </w:tc>
        <w:tc>
          <w:tcPr>
            <w:tcW w:w="6386" w:type="dxa"/>
          </w:tcPr>
          <w:p w:rsidR="002E73A5" w:rsidRPr="00E802D0" w:rsidRDefault="002E73A5" w:rsidP="002834C2">
            <w:pPr>
              <w:pStyle w:val="Tflutexti"/>
              <w:spacing w:after="0"/>
              <w:rPr>
                <w:rFonts w:ascii="Times New Roman" w:hAnsi="Times New Roman" w:cs="Times New Roman"/>
                <w:sz w:val="18"/>
                <w:szCs w:val="18"/>
              </w:rPr>
            </w:pPr>
            <w:r w:rsidRPr="00E802D0">
              <w:rPr>
                <w:rFonts w:ascii="Times New Roman" w:hAnsi="Times New Roman" w:cs="Times New Roman"/>
                <w:sz w:val="18"/>
                <w:szCs w:val="18"/>
              </w:rPr>
              <w:t>Yfirlýsing þess efnis að:</w:t>
            </w:r>
          </w:p>
          <w:p w:rsidR="002E73A5" w:rsidRPr="00E802D0" w:rsidRDefault="002E73A5" w:rsidP="002E73A5">
            <w:pPr>
              <w:pStyle w:val="Tflutexti"/>
              <w:spacing w:before="0" w:after="0"/>
              <w:ind w:left="312" w:hanging="284"/>
              <w:rPr>
                <w:rFonts w:ascii="Times New Roman" w:hAnsi="Times New Roman" w:cs="Times New Roman"/>
                <w:sz w:val="18"/>
                <w:szCs w:val="18"/>
              </w:rPr>
            </w:pPr>
            <w:r w:rsidRPr="00E802D0">
              <w:rPr>
                <w:rFonts w:ascii="Times New Roman" w:hAnsi="Times New Roman" w:cs="Times New Roman"/>
                <w:sz w:val="18"/>
                <w:szCs w:val="18"/>
              </w:rPr>
              <w:t>a)</w:t>
            </w:r>
            <w:r w:rsidRPr="00E802D0">
              <w:rPr>
                <w:rFonts w:ascii="Times New Roman" w:hAnsi="Times New Roman" w:cs="Times New Roman"/>
                <w:sz w:val="18"/>
                <w:szCs w:val="18"/>
              </w:rPr>
              <w:tab/>
              <w:t>[verðbréfalýsingin/lýsingin] hafi verið staðfest af [heiti lögbærs yfirvalds] sem lögbæru yfirvaldi samkvæmt reglugerð (ESB) 2017/1129,</w:t>
            </w:r>
          </w:p>
          <w:p w:rsidR="002E73A5" w:rsidRPr="00E802D0" w:rsidRDefault="002E73A5" w:rsidP="002834C2">
            <w:pPr>
              <w:pStyle w:val="Tflutexti"/>
              <w:spacing w:before="0" w:after="0"/>
              <w:ind w:left="312" w:hanging="284"/>
              <w:rPr>
                <w:rFonts w:ascii="Times New Roman" w:hAnsi="Times New Roman" w:cs="Times New Roman"/>
                <w:sz w:val="18"/>
                <w:szCs w:val="18"/>
              </w:rPr>
            </w:pPr>
            <w:r w:rsidRPr="00E802D0">
              <w:rPr>
                <w:rFonts w:ascii="Times New Roman" w:hAnsi="Times New Roman" w:cs="Times New Roman"/>
                <w:sz w:val="18"/>
                <w:szCs w:val="18"/>
              </w:rPr>
              <w:t>b)</w:t>
            </w:r>
            <w:r w:rsidRPr="00E802D0">
              <w:rPr>
                <w:rFonts w:ascii="Times New Roman" w:hAnsi="Times New Roman" w:cs="Times New Roman"/>
                <w:sz w:val="18"/>
                <w:szCs w:val="18"/>
              </w:rPr>
              <w:tab/>
              <w:t>[heiti lögbærs yfirvalds] staðfesti aðeins þessa [verðbréfalýsingu/lýsingu] í þeim skilningi að hún uppfylli þær kröfur um að vera fullnægjandi, skiljanleg og samkvæm sem kveðið er á um í reglugerð (ESB) 2017/1129,</w:t>
            </w:r>
          </w:p>
          <w:p w:rsidR="002E73A5" w:rsidRPr="00E802D0" w:rsidRDefault="002E73A5" w:rsidP="002E73A5">
            <w:pPr>
              <w:pStyle w:val="Tflutexti"/>
              <w:spacing w:before="0" w:after="0"/>
              <w:ind w:left="312" w:hanging="284"/>
              <w:rPr>
                <w:rFonts w:ascii="Times New Roman" w:hAnsi="Times New Roman" w:cs="Times New Roman"/>
                <w:sz w:val="18"/>
                <w:szCs w:val="18"/>
              </w:rPr>
            </w:pPr>
            <w:r w:rsidRPr="00E802D0">
              <w:rPr>
                <w:rFonts w:ascii="Times New Roman" w:hAnsi="Times New Roman" w:cs="Times New Roman"/>
                <w:sz w:val="18"/>
                <w:szCs w:val="18"/>
              </w:rPr>
              <w:t>c)</w:t>
            </w:r>
            <w:r w:rsidRPr="00E802D0">
              <w:rPr>
                <w:rFonts w:ascii="Times New Roman" w:hAnsi="Times New Roman" w:cs="Times New Roman"/>
                <w:sz w:val="18"/>
                <w:szCs w:val="18"/>
              </w:rPr>
              <w:tab/>
              <w:t>ekki beri að líta á slíka staðfestingu sem [staðfestingu á gæðum verðbréfanna] sem viðkomandi [verðbréfalýsing/lýsing] varðar,</w:t>
            </w:r>
          </w:p>
          <w:p w:rsidR="002E73A5" w:rsidRPr="00E802D0" w:rsidRDefault="002E73A5" w:rsidP="002834C2">
            <w:pPr>
              <w:pStyle w:val="Tflutexti"/>
              <w:spacing w:before="0"/>
              <w:ind w:left="312" w:hanging="284"/>
              <w:rPr>
                <w:rFonts w:ascii="Times New Roman" w:hAnsi="Times New Roman" w:cs="Times New Roman"/>
                <w:sz w:val="18"/>
                <w:szCs w:val="18"/>
              </w:rPr>
            </w:pPr>
            <w:r w:rsidRPr="00E802D0">
              <w:rPr>
                <w:rFonts w:ascii="Times New Roman" w:hAnsi="Times New Roman" w:cs="Times New Roman"/>
                <w:sz w:val="18"/>
                <w:szCs w:val="18"/>
              </w:rPr>
              <w:t>d)</w:t>
            </w:r>
            <w:r w:rsidRPr="00E802D0">
              <w:rPr>
                <w:rFonts w:ascii="Times New Roman" w:hAnsi="Times New Roman" w:cs="Times New Roman"/>
                <w:sz w:val="18"/>
                <w:szCs w:val="18"/>
              </w:rPr>
              <w:tab/>
              <w:t>fjárfestar skuli meta sjálfir hvort þeim henti að fjárfesta í verðbréfunum.</w:t>
            </w:r>
          </w:p>
        </w:tc>
        <w:tc>
          <w:tcPr>
            <w:tcW w:w="989" w:type="dxa"/>
            <w:tcBorders>
              <w:bottom w:val="single" w:sz="4" w:space="0" w:color="auto"/>
            </w:tcBorders>
          </w:tcPr>
          <w:p w:rsidR="002E73A5" w:rsidRPr="00E802D0" w:rsidRDefault="002E73A5" w:rsidP="00553173">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2E73A5" w:rsidRPr="00E802D0" w:rsidTr="00E802D0">
        <w:trPr>
          <w:trHeight w:val="567"/>
        </w:trPr>
        <w:tc>
          <w:tcPr>
            <w:tcW w:w="848" w:type="dxa"/>
          </w:tcPr>
          <w:p w:rsidR="002E73A5" w:rsidRPr="00E802D0" w:rsidRDefault="002E73A5" w:rsidP="007B5B30">
            <w:pPr>
              <w:pStyle w:val="Tflutexti"/>
              <w:spacing w:before="240" w:line="240" w:lineRule="auto"/>
              <w:rPr>
                <w:rFonts w:ascii="Times New Roman" w:hAnsi="Times New Roman" w:cs="Times New Roman"/>
                <w:sz w:val="18"/>
                <w:szCs w:val="18"/>
              </w:rPr>
            </w:pPr>
          </w:p>
        </w:tc>
        <w:tc>
          <w:tcPr>
            <w:tcW w:w="1137" w:type="dxa"/>
          </w:tcPr>
          <w:p w:rsidR="002E73A5" w:rsidRPr="00E802D0" w:rsidRDefault="002E73A5" w:rsidP="002E73A5">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2. ÞÁTTUR</w:t>
            </w:r>
          </w:p>
        </w:tc>
        <w:tc>
          <w:tcPr>
            <w:tcW w:w="6386" w:type="dxa"/>
            <w:tcBorders>
              <w:right w:val="nil"/>
            </w:tcBorders>
          </w:tcPr>
          <w:p w:rsidR="002E73A5" w:rsidRPr="00E802D0" w:rsidRDefault="002E73A5" w:rsidP="002E73A5">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ÁHÆTTUÞÆTTIR</w:t>
            </w:r>
          </w:p>
        </w:tc>
        <w:tc>
          <w:tcPr>
            <w:tcW w:w="989" w:type="dxa"/>
            <w:tcBorders>
              <w:left w:val="nil"/>
            </w:tcBorders>
          </w:tcPr>
          <w:p w:rsidR="002E73A5" w:rsidRPr="00E802D0" w:rsidRDefault="002E73A5" w:rsidP="007B5B30">
            <w:pPr>
              <w:pStyle w:val="Tflutexti"/>
              <w:spacing w:before="240" w:line="240" w:lineRule="auto"/>
              <w:rPr>
                <w:rFonts w:ascii="Times New Roman" w:hAnsi="Times New Roman" w:cs="Times New Roman"/>
                <w:sz w:val="18"/>
                <w:szCs w:val="18"/>
              </w:rPr>
            </w:pPr>
          </w:p>
        </w:tc>
      </w:tr>
      <w:tr w:rsidR="002E73A5" w:rsidRPr="00E802D0" w:rsidTr="00E802D0">
        <w:trPr>
          <w:trHeight w:val="567"/>
        </w:trPr>
        <w:tc>
          <w:tcPr>
            <w:tcW w:w="848" w:type="dxa"/>
          </w:tcPr>
          <w:p w:rsidR="002E73A5" w:rsidRPr="00E802D0" w:rsidRDefault="002E73A5" w:rsidP="007B5B30">
            <w:pPr>
              <w:pStyle w:val="Tflutexti"/>
              <w:spacing w:before="240" w:line="240" w:lineRule="auto"/>
              <w:rPr>
                <w:rFonts w:ascii="Times New Roman" w:hAnsi="Times New Roman" w:cs="Times New Roman"/>
                <w:sz w:val="18"/>
                <w:szCs w:val="18"/>
              </w:rPr>
            </w:pPr>
          </w:p>
        </w:tc>
        <w:tc>
          <w:tcPr>
            <w:tcW w:w="1137" w:type="dxa"/>
          </w:tcPr>
          <w:p w:rsidR="002E73A5" w:rsidRPr="00E802D0" w:rsidRDefault="002E73A5" w:rsidP="002E73A5">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2.1.</w:t>
            </w:r>
          </w:p>
        </w:tc>
        <w:tc>
          <w:tcPr>
            <w:tcW w:w="6386" w:type="dxa"/>
          </w:tcPr>
          <w:p w:rsidR="002E73A5" w:rsidRPr="00E802D0" w:rsidRDefault="002E73A5" w:rsidP="002E73A5">
            <w:pPr>
              <w:pStyle w:val="Tflutexti"/>
              <w:rPr>
                <w:rFonts w:ascii="Times New Roman" w:hAnsi="Times New Roman" w:cs="Times New Roman"/>
                <w:sz w:val="18"/>
                <w:szCs w:val="18"/>
              </w:rPr>
            </w:pPr>
            <w:r w:rsidRPr="00E802D0">
              <w:rPr>
                <w:rFonts w:ascii="Times New Roman" w:hAnsi="Times New Roman" w:cs="Times New Roman"/>
                <w:sz w:val="18"/>
                <w:szCs w:val="18"/>
              </w:rPr>
              <w:t>Lýsing á verulegri áhættu sem er sértæk fyrir verðbréfin sem boðin eru eða tekin til viðskipta, í takmörkuðum fjölda flokka, í kafla með fyrirsögnina „Áhættuþættir“.</w:t>
            </w:r>
          </w:p>
          <w:p w:rsidR="002E73A5" w:rsidRPr="00E802D0" w:rsidRDefault="002E73A5" w:rsidP="002E73A5">
            <w:pPr>
              <w:pStyle w:val="Tflutexti"/>
              <w:rPr>
                <w:rFonts w:ascii="Times New Roman" w:hAnsi="Times New Roman" w:cs="Times New Roman"/>
                <w:sz w:val="18"/>
                <w:szCs w:val="18"/>
              </w:rPr>
            </w:pPr>
            <w:r w:rsidRPr="00E802D0">
              <w:rPr>
                <w:rFonts w:ascii="Times New Roman" w:hAnsi="Times New Roman" w:cs="Times New Roman"/>
                <w:sz w:val="18"/>
                <w:szCs w:val="18"/>
              </w:rPr>
              <w:t>Meðal áhættuþátta sem skal veita upplýsingar um eru:</w:t>
            </w:r>
          </w:p>
          <w:p w:rsidR="002E73A5" w:rsidRPr="00E802D0" w:rsidRDefault="002E73A5" w:rsidP="002E73A5">
            <w:pPr>
              <w:pStyle w:val="Tflutexti"/>
              <w:spacing w:before="0" w:after="0"/>
              <w:ind w:left="309" w:hanging="283"/>
              <w:rPr>
                <w:rFonts w:ascii="Times New Roman" w:hAnsi="Times New Roman" w:cs="Times New Roman"/>
                <w:sz w:val="18"/>
                <w:szCs w:val="18"/>
              </w:rPr>
            </w:pPr>
            <w:r w:rsidRPr="00E802D0">
              <w:rPr>
                <w:rFonts w:ascii="Times New Roman" w:hAnsi="Times New Roman" w:cs="Times New Roman"/>
                <w:sz w:val="18"/>
                <w:szCs w:val="18"/>
              </w:rPr>
              <w:t>a)</w:t>
            </w:r>
            <w:r w:rsidRPr="00E802D0">
              <w:rPr>
                <w:rFonts w:ascii="Times New Roman" w:hAnsi="Times New Roman" w:cs="Times New Roman"/>
                <w:sz w:val="18"/>
                <w:szCs w:val="18"/>
              </w:rPr>
              <w:tab/>
              <w:t>þeir sem leiða af rétthæð verðbréfs sem víkjandi kröfu og áhrif af væntanlegri stærð eða tímasetningu greiðslna til eigenda verðbréfanna ef til gjaldþrots eða annarrar sambærilegrar meðferðar kæmi, þ.m.t., ef við á, ógjaldfærni lánastofnunar eða skilameðferðar eða endurskipulagningar í samræmi við tilskipun 2014/59/ESB,</w:t>
            </w:r>
          </w:p>
          <w:p w:rsidR="002E73A5" w:rsidRPr="00E802D0" w:rsidRDefault="002E73A5" w:rsidP="002E73A5">
            <w:pPr>
              <w:pStyle w:val="Tflutexti"/>
              <w:spacing w:before="0" w:after="0"/>
              <w:ind w:left="309" w:hanging="283"/>
              <w:rPr>
                <w:rFonts w:ascii="Times New Roman" w:hAnsi="Times New Roman" w:cs="Times New Roman"/>
                <w:sz w:val="18"/>
                <w:szCs w:val="18"/>
              </w:rPr>
            </w:pPr>
            <w:r w:rsidRPr="00E802D0">
              <w:rPr>
                <w:rFonts w:ascii="Times New Roman" w:hAnsi="Times New Roman" w:cs="Times New Roman"/>
                <w:sz w:val="18"/>
                <w:szCs w:val="18"/>
              </w:rPr>
              <w:t>b)</w:t>
            </w:r>
            <w:r w:rsidRPr="00E802D0">
              <w:rPr>
                <w:rFonts w:ascii="Times New Roman" w:hAnsi="Times New Roman" w:cs="Times New Roman"/>
                <w:sz w:val="18"/>
                <w:szCs w:val="18"/>
              </w:rPr>
              <w:tab/>
              <w:t>í tilvikum þar sem verðbréfin eru tryggð með ábyrgð, verulegir áhættuþættir sem eiga sérstaklega við um ábyrgðarveitandann að því marki sem þeir skipta máli fyrir getu hans til að standa við skuldbindingar sínar samkvæmt ábyrgðinni.</w:t>
            </w:r>
          </w:p>
          <w:p w:rsidR="002E73A5" w:rsidRPr="00E802D0" w:rsidRDefault="002E73A5" w:rsidP="002E73A5">
            <w:pPr>
              <w:pStyle w:val="Tflutexti"/>
              <w:rPr>
                <w:rFonts w:ascii="Times New Roman" w:hAnsi="Times New Roman" w:cs="Times New Roman"/>
                <w:sz w:val="18"/>
                <w:szCs w:val="18"/>
              </w:rPr>
            </w:pPr>
            <w:r w:rsidRPr="00E802D0">
              <w:rPr>
                <w:rFonts w:ascii="Times New Roman" w:hAnsi="Times New Roman" w:cs="Times New Roman"/>
                <w:sz w:val="18"/>
                <w:szCs w:val="18"/>
              </w:rPr>
              <w:t>Í hverjum flokki skal fyrst telja upp alvarlegustu áhættuþættina að mati útgefanda, tilboðsgjafa eða aðilans sem sækir um töku til viðskipta á skipulegum markaði, að teknu tilliti til neikvæðra áhrifa á útgefandann og verðbréfin og líkanna á að þeir raungerist. Áhættuþættirnir skulu staðfestir með efni verðbréfalýsingarinnar.</w:t>
            </w:r>
          </w:p>
        </w:tc>
        <w:tc>
          <w:tcPr>
            <w:tcW w:w="989" w:type="dxa"/>
            <w:tcBorders>
              <w:bottom w:val="single" w:sz="4" w:space="0" w:color="auto"/>
            </w:tcBorders>
          </w:tcPr>
          <w:p w:rsidR="002E73A5" w:rsidRPr="00E802D0" w:rsidRDefault="002E73A5" w:rsidP="002E73A5">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2E73A5" w:rsidRPr="00E802D0" w:rsidTr="00E802D0">
        <w:trPr>
          <w:trHeight w:val="567"/>
        </w:trPr>
        <w:tc>
          <w:tcPr>
            <w:tcW w:w="848" w:type="dxa"/>
          </w:tcPr>
          <w:p w:rsidR="002E73A5" w:rsidRPr="00E802D0" w:rsidRDefault="002E73A5" w:rsidP="007B5B30">
            <w:pPr>
              <w:pStyle w:val="Tflutexti"/>
              <w:spacing w:before="240" w:line="240" w:lineRule="auto"/>
              <w:rPr>
                <w:rFonts w:ascii="Times New Roman" w:hAnsi="Times New Roman" w:cs="Times New Roman"/>
                <w:sz w:val="18"/>
                <w:szCs w:val="18"/>
              </w:rPr>
            </w:pPr>
          </w:p>
        </w:tc>
        <w:tc>
          <w:tcPr>
            <w:tcW w:w="1137" w:type="dxa"/>
          </w:tcPr>
          <w:p w:rsidR="002E73A5" w:rsidRPr="00E802D0" w:rsidRDefault="002D383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3. ÞÁTTUR</w:t>
            </w:r>
          </w:p>
        </w:tc>
        <w:tc>
          <w:tcPr>
            <w:tcW w:w="6386" w:type="dxa"/>
            <w:tcBorders>
              <w:right w:val="nil"/>
            </w:tcBorders>
          </w:tcPr>
          <w:p w:rsidR="002E73A5" w:rsidRPr="00E802D0" w:rsidRDefault="002D383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HELSTU UPPLÝSINGAR</w:t>
            </w:r>
          </w:p>
        </w:tc>
        <w:tc>
          <w:tcPr>
            <w:tcW w:w="989" w:type="dxa"/>
            <w:tcBorders>
              <w:left w:val="nil"/>
            </w:tcBorders>
          </w:tcPr>
          <w:p w:rsidR="002E73A5" w:rsidRPr="00E802D0" w:rsidRDefault="002E73A5" w:rsidP="007B5B30">
            <w:pPr>
              <w:pStyle w:val="Tflutexti"/>
              <w:spacing w:before="240" w:line="240" w:lineRule="auto"/>
              <w:rPr>
                <w:rFonts w:ascii="Times New Roman" w:hAnsi="Times New Roman" w:cs="Times New Roman"/>
                <w:sz w:val="18"/>
                <w:szCs w:val="18"/>
              </w:rPr>
            </w:pPr>
          </w:p>
        </w:tc>
      </w:tr>
      <w:tr w:rsidR="002E73A5" w:rsidRPr="00E802D0" w:rsidTr="00E802D0">
        <w:trPr>
          <w:trHeight w:val="567"/>
        </w:trPr>
        <w:tc>
          <w:tcPr>
            <w:tcW w:w="848" w:type="dxa"/>
          </w:tcPr>
          <w:p w:rsidR="002E73A5" w:rsidRPr="00E802D0" w:rsidRDefault="002E73A5" w:rsidP="002D383E">
            <w:pPr>
              <w:pStyle w:val="Tflutexti"/>
              <w:spacing w:line="240" w:lineRule="auto"/>
              <w:rPr>
                <w:rFonts w:ascii="Times New Roman" w:hAnsi="Times New Roman" w:cs="Times New Roman"/>
                <w:sz w:val="18"/>
                <w:szCs w:val="18"/>
              </w:rPr>
            </w:pPr>
          </w:p>
        </w:tc>
        <w:tc>
          <w:tcPr>
            <w:tcW w:w="1137" w:type="dxa"/>
          </w:tcPr>
          <w:p w:rsidR="002E73A5" w:rsidRPr="00E802D0" w:rsidRDefault="002D383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3.1.</w:t>
            </w:r>
          </w:p>
        </w:tc>
        <w:tc>
          <w:tcPr>
            <w:tcW w:w="6386" w:type="dxa"/>
          </w:tcPr>
          <w:p w:rsidR="002E73A5" w:rsidRPr="00E802D0" w:rsidRDefault="002D383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Hagsmunir einstaklinga og lögaðila sem tengjast útgáfunni/útboðinu</w:t>
            </w:r>
          </w:p>
          <w:p w:rsidR="002D383E" w:rsidRPr="00E802D0" w:rsidRDefault="002D383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Lýsing á hvers kyns hagsmunum, þ.m.t. hagsmunaárekstrum sem skipta máli fyrir útgáfuna/útboðið, ásamt upplýsingum um hlutaðeigandi aðila og eðli viðkomandi hagsmuna.</w:t>
            </w:r>
          </w:p>
        </w:tc>
        <w:tc>
          <w:tcPr>
            <w:tcW w:w="989" w:type="dxa"/>
          </w:tcPr>
          <w:p w:rsidR="002D383E" w:rsidRPr="00E802D0" w:rsidRDefault="002D383E" w:rsidP="002D383E">
            <w:pPr>
              <w:pStyle w:val="Tflutexti"/>
              <w:spacing w:line="240" w:lineRule="auto"/>
              <w:rPr>
                <w:rFonts w:ascii="Times New Roman" w:hAnsi="Times New Roman" w:cs="Times New Roman"/>
                <w:sz w:val="18"/>
                <w:szCs w:val="18"/>
              </w:rPr>
            </w:pPr>
          </w:p>
          <w:p w:rsidR="002E73A5" w:rsidRPr="00E802D0" w:rsidRDefault="002D383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3.2.</w:t>
            </w:r>
          </w:p>
        </w:tc>
        <w:tc>
          <w:tcPr>
            <w:tcW w:w="6386"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Ástæður útboðs og notkun ágóða</w:t>
            </w:r>
          </w:p>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Ástæður almenns útboðs eða töku til viðskipta. Upplýsingar um áætlaðan heildarkostnað við útgáfu/útboð og áætluð nettófjárhæð ágóða, þar sem við á. Sundurliða skal þennan kostnað og ágóða eftir hverri fyrirhugaðri meginráðstöfun og setja fram í forgangsröð slíkra ráðstafana. Sé útgefanda kunnugt um að áætlaður ágóði muni ekki duga til að standa straum af allri fyrirhugaðri ráðstöfun skal tilgreina fjárhæðina sem upp á vantar og hvaðan önnur fjármögnun sem til þarf kemur.</w:t>
            </w:r>
          </w:p>
        </w:tc>
        <w:tc>
          <w:tcPr>
            <w:tcW w:w="989" w:type="dxa"/>
            <w:tcBorders>
              <w:bottom w:val="single" w:sz="4" w:space="0" w:color="auto"/>
            </w:tcBorders>
          </w:tcPr>
          <w:p w:rsidR="0034708D" w:rsidRPr="00E802D0" w:rsidRDefault="0034708D" w:rsidP="002D383E">
            <w:pPr>
              <w:pStyle w:val="Tflutexti"/>
              <w:spacing w:line="240" w:lineRule="auto"/>
              <w:rPr>
                <w:rFonts w:ascii="Times New Roman" w:hAnsi="Times New Roman" w:cs="Times New Roman"/>
                <w:sz w:val="18"/>
                <w:szCs w:val="18"/>
              </w:rPr>
            </w:pPr>
          </w:p>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4. ÞÁTTUR</w:t>
            </w:r>
          </w:p>
        </w:tc>
        <w:tc>
          <w:tcPr>
            <w:tcW w:w="6386" w:type="dxa"/>
            <w:tcBorders>
              <w:right w:val="nil"/>
            </w:tcBorders>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UPPLÝSINGAR UM VERÐBRÉF SEM Á AÐ BJÓÐA Í ALMENNU ÚTBOÐI/TAKA TIL VIÐSKIPTA</w:t>
            </w:r>
          </w:p>
        </w:tc>
        <w:tc>
          <w:tcPr>
            <w:tcW w:w="989" w:type="dxa"/>
            <w:tcBorders>
              <w:left w:val="nil"/>
            </w:tcBorders>
          </w:tcPr>
          <w:p w:rsidR="0034708D" w:rsidRPr="00E802D0" w:rsidRDefault="0034708D" w:rsidP="002D383E">
            <w:pPr>
              <w:pStyle w:val="Tflutexti"/>
              <w:spacing w:line="240" w:lineRule="auto"/>
              <w:rPr>
                <w:rFonts w:ascii="Times New Roman" w:hAnsi="Times New Roman" w:cs="Times New Roman"/>
                <w:sz w:val="18"/>
                <w:szCs w:val="18"/>
              </w:rPr>
            </w:pP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w:t>
            </w:r>
          </w:p>
        </w:tc>
        <w:tc>
          <w:tcPr>
            <w:tcW w:w="6386" w:type="dxa"/>
          </w:tcPr>
          <w:p w:rsidR="0034708D" w:rsidRPr="00E802D0" w:rsidRDefault="0034708D" w:rsidP="0034708D">
            <w:pPr>
              <w:pStyle w:val="Tflutexti"/>
              <w:numPr>
                <w:ilvl w:val="0"/>
                <w:numId w:val="6"/>
              </w:numPr>
              <w:spacing w:line="240" w:lineRule="auto"/>
              <w:ind w:left="309" w:hanging="283"/>
              <w:rPr>
                <w:rFonts w:ascii="Times New Roman" w:hAnsi="Times New Roman" w:cs="Times New Roman"/>
                <w:sz w:val="18"/>
                <w:szCs w:val="18"/>
              </w:rPr>
            </w:pPr>
            <w:r w:rsidRPr="00E802D0">
              <w:rPr>
                <w:rFonts w:ascii="Times New Roman" w:hAnsi="Times New Roman" w:cs="Times New Roman"/>
                <w:sz w:val="18"/>
                <w:szCs w:val="18"/>
              </w:rPr>
              <w:t>Lýsing á tegund og flokki verðbréfa sem eru boðin út í almennu útboði og/eða tekin til viðskipta.</w:t>
            </w:r>
          </w:p>
          <w:p w:rsidR="0034708D" w:rsidRPr="00E802D0" w:rsidRDefault="0034708D" w:rsidP="0034708D">
            <w:pPr>
              <w:pStyle w:val="Tflutexti"/>
              <w:numPr>
                <w:ilvl w:val="0"/>
                <w:numId w:val="6"/>
              </w:numPr>
              <w:spacing w:line="240" w:lineRule="auto"/>
              <w:ind w:left="309" w:hanging="283"/>
              <w:rPr>
                <w:rFonts w:ascii="Times New Roman" w:hAnsi="Times New Roman" w:cs="Times New Roman"/>
                <w:sz w:val="18"/>
                <w:szCs w:val="18"/>
              </w:rPr>
            </w:pPr>
            <w:r w:rsidRPr="00E802D0">
              <w:rPr>
                <w:rFonts w:ascii="Times New Roman" w:hAnsi="Times New Roman" w:cs="Times New Roman"/>
                <w:sz w:val="18"/>
                <w:szCs w:val="18"/>
              </w:rPr>
              <w:t>Alþjóðlegt auðkennisnúmer verðbréfa (ISIN-númer) fyrir þá flokka verðbréfa sem um getur í a-lið.</w:t>
            </w:r>
          </w:p>
        </w:tc>
        <w:tc>
          <w:tcPr>
            <w:tcW w:w="989" w:type="dxa"/>
          </w:tcPr>
          <w:p w:rsidR="0034708D" w:rsidRPr="00E802D0" w:rsidRDefault="0034708D" w:rsidP="0034708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34708D" w:rsidRPr="00E802D0" w:rsidRDefault="0034708D" w:rsidP="0034708D">
            <w:pPr>
              <w:pStyle w:val="Tflutexti"/>
              <w:spacing w:before="0" w:after="0" w:line="240" w:lineRule="auto"/>
              <w:rPr>
                <w:rFonts w:ascii="Times New Roman" w:hAnsi="Times New Roman" w:cs="Times New Roman"/>
                <w:sz w:val="18"/>
                <w:szCs w:val="18"/>
              </w:rPr>
            </w:pPr>
          </w:p>
          <w:p w:rsidR="0034708D" w:rsidRPr="00E802D0" w:rsidRDefault="0034708D" w:rsidP="0034708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4.2.</w:t>
            </w:r>
          </w:p>
        </w:tc>
        <w:tc>
          <w:tcPr>
            <w:tcW w:w="6386"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Löggjöfin sem verðbréfin eru gefin út samkvæmt.</w:t>
            </w:r>
          </w:p>
        </w:tc>
        <w:tc>
          <w:tcPr>
            <w:tcW w:w="989"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4708D"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4.3.</w:t>
            </w:r>
          </w:p>
        </w:tc>
        <w:tc>
          <w:tcPr>
            <w:tcW w:w="6386" w:type="dxa"/>
          </w:tcPr>
          <w:p w:rsidR="0034708D" w:rsidRPr="00E802D0" w:rsidRDefault="0034708D" w:rsidP="002834C2">
            <w:pPr>
              <w:pStyle w:val="Tflutexti"/>
              <w:numPr>
                <w:ilvl w:val="0"/>
                <w:numId w:val="7"/>
              </w:numPr>
              <w:spacing w:after="0" w:line="240" w:lineRule="auto"/>
              <w:ind w:left="309" w:hanging="345"/>
              <w:rPr>
                <w:rFonts w:ascii="Times New Roman" w:hAnsi="Times New Roman" w:cs="Times New Roman"/>
                <w:sz w:val="18"/>
                <w:szCs w:val="18"/>
              </w:rPr>
            </w:pPr>
            <w:r w:rsidRPr="00E802D0">
              <w:rPr>
                <w:rFonts w:ascii="Times New Roman" w:hAnsi="Times New Roman" w:cs="Times New Roman"/>
                <w:sz w:val="18"/>
                <w:szCs w:val="18"/>
              </w:rPr>
              <w:t>Upplýsingar um hvort verðbréfin eru nafnbréf eða handhafabréf og hvort þau eru í skírteinisformi eða rafrænt skráð.</w:t>
            </w:r>
          </w:p>
          <w:p w:rsidR="0034708D" w:rsidRPr="00E802D0" w:rsidRDefault="0034708D" w:rsidP="002834C2">
            <w:pPr>
              <w:pStyle w:val="Tflutexti"/>
              <w:numPr>
                <w:ilvl w:val="0"/>
                <w:numId w:val="7"/>
              </w:numPr>
              <w:spacing w:before="0" w:line="240" w:lineRule="auto"/>
              <w:ind w:left="309" w:hanging="345"/>
              <w:rPr>
                <w:rFonts w:ascii="Times New Roman" w:hAnsi="Times New Roman" w:cs="Times New Roman"/>
                <w:sz w:val="18"/>
                <w:szCs w:val="18"/>
              </w:rPr>
            </w:pPr>
            <w:r w:rsidRPr="00E802D0">
              <w:rPr>
                <w:rFonts w:ascii="Times New Roman" w:hAnsi="Times New Roman" w:cs="Times New Roman"/>
                <w:sz w:val="18"/>
                <w:szCs w:val="18"/>
              </w:rPr>
              <w:t>Sé um að ræða verðbréf sem eru rafrænt skráð skal tilgreina nafn og heimilisfang aðilans sem sér um skráninguna.</w:t>
            </w:r>
          </w:p>
        </w:tc>
        <w:tc>
          <w:tcPr>
            <w:tcW w:w="989" w:type="dxa"/>
          </w:tcPr>
          <w:p w:rsidR="0034708D" w:rsidRPr="00E802D0" w:rsidRDefault="0034708D" w:rsidP="0034708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p w:rsidR="0034708D" w:rsidRPr="00E802D0" w:rsidRDefault="0034708D" w:rsidP="0034708D">
            <w:pPr>
              <w:pStyle w:val="Tflutexti"/>
              <w:spacing w:before="0" w:after="0" w:line="240" w:lineRule="auto"/>
              <w:rPr>
                <w:rFonts w:ascii="Times New Roman" w:hAnsi="Times New Roman" w:cs="Times New Roman"/>
                <w:sz w:val="18"/>
                <w:szCs w:val="18"/>
              </w:rPr>
            </w:pPr>
          </w:p>
          <w:p w:rsidR="0034708D" w:rsidRPr="00E802D0" w:rsidRDefault="0034708D" w:rsidP="0034708D">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C50053"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4.4.</w:t>
            </w:r>
          </w:p>
        </w:tc>
        <w:tc>
          <w:tcPr>
            <w:tcW w:w="6386" w:type="dxa"/>
          </w:tcPr>
          <w:p w:rsidR="00C50053" w:rsidRPr="00E802D0" w:rsidRDefault="00C50053" w:rsidP="00C50053">
            <w:pPr>
              <w:pStyle w:val="Tflutexti"/>
              <w:rPr>
                <w:rFonts w:ascii="Times New Roman" w:hAnsi="Times New Roman" w:cs="Times New Roman"/>
                <w:sz w:val="18"/>
                <w:szCs w:val="18"/>
              </w:rPr>
            </w:pPr>
            <w:r w:rsidRPr="00E802D0">
              <w:rPr>
                <w:rFonts w:ascii="Times New Roman" w:hAnsi="Times New Roman" w:cs="Times New Roman"/>
                <w:sz w:val="18"/>
                <w:szCs w:val="18"/>
              </w:rPr>
              <w:t>Heildarmagn verðbréfa sem boðin eru í almennu útboði/tekin til viðskipta. Sé fjárhæðin ekki föst skal tilgreina hámarksmagn verðbréfa sem boðin verða (liggi það fyrir) og lýsa hvernig og hvenær endanleg fjárhæð útboðsins verður tilkynnt opinberlega.</w:t>
            </w:r>
          </w:p>
          <w:p w:rsidR="0034708D" w:rsidRPr="00E802D0" w:rsidRDefault="00C50053" w:rsidP="00C50053">
            <w:pPr>
              <w:pStyle w:val="Tflutexti"/>
              <w:rPr>
                <w:rFonts w:ascii="Times New Roman" w:hAnsi="Times New Roman" w:cs="Times New Roman"/>
                <w:sz w:val="18"/>
                <w:szCs w:val="18"/>
              </w:rPr>
            </w:pPr>
            <w:r w:rsidRPr="00E802D0">
              <w:rPr>
                <w:rFonts w:ascii="Times New Roman" w:hAnsi="Times New Roman" w:cs="Times New Roman"/>
                <w:sz w:val="18"/>
                <w:szCs w:val="18"/>
              </w:rPr>
              <w:t>Sé ekki hægt að tilgreina í verðbréfalýsingunni hámarksmagn verðbréfa sem bjóða á skal koma fram í henni að hægt verði að afturkalla samþykki á kaupum á eða áskrift að verðbréfum í allt að tvo virka daga eftir að tilkynnt er um magn verðbréfa sem boðið verður í almenna útboðinu.</w:t>
            </w:r>
          </w:p>
        </w:tc>
        <w:tc>
          <w:tcPr>
            <w:tcW w:w="989" w:type="dxa"/>
          </w:tcPr>
          <w:p w:rsidR="0034708D" w:rsidRPr="00E802D0" w:rsidRDefault="00C50053"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4.5.</w:t>
            </w:r>
          </w:p>
        </w:tc>
        <w:tc>
          <w:tcPr>
            <w:tcW w:w="6386"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Gjaldmiðill sem verðbréfin eru gefin út í.</w:t>
            </w:r>
          </w:p>
        </w:tc>
        <w:tc>
          <w:tcPr>
            <w:tcW w:w="989"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4.6.</w:t>
            </w:r>
          </w:p>
        </w:tc>
        <w:tc>
          <w:tcPr>
            <w:tcW w:w="6386"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Rétthæð verðbréfanna í fjármagnsskipan útgefanda ef til gjaldþrotaskipta kæmi, þ.m.t., eftir atvikum, upplýsingar um víkjandi stöðu verðbréfanna og möguleg áhrif á fjárfestinguna ef til skilameðferðar kæmi samkvæmt tilskipun 2014/59/ESB.</w:t>
            </w:r>
          </w:p>
        </w:tc>
        <w:tc>
          <w:tcPr>
            <w:tcW w:w="989"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4.7.</w:t>
            </w:r>
          </w:p>
        </w:tc>
        <w:tc>
          <w:tcPr>
            <w:tcW w:w="6386"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Lýsing á réttindum sem fylgja verðbréfunum, þ.m.t. hvers kyns takmörkunum á þessum réttindum, og tilhögun við nýtingu þeirra.</w:t>
            </w:r>
          </w:p>
        </w:tc>
        <w:tc>
          <w:tcPr>
            <w:tcW w:w="989" w:type="dxa"/>
          </w:tcPr>
          <w:p w:rsidR="0034708D" w:rsidRPr="00E802D0" w:rsidRDefault="0037551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tc>
      </w:tr>
      <w:tr w:rsidR="0034708D" w:rsidRPr="00E802D0" w:rsidTr="00E802D0">
        <w:trPr>
          <w:trHeight w:val="567"/>
        </w:trPr>
        <w:tc>
          <w:tcPr>
            <w:tcW w:w="848" w:type="dxa"/>
          </w:tcPr>
          <w:p w:rsidR="0034708D" w:rsidRPr="00E802D0" w:rsidRDefault="0034708D" w:rsidP="002D383E">
            <w:pPr>
              <w:pStyle w:val="Tflutexti"/>
              <w:spacing w:line="240" w:lineRule="auto"/>
              <w:rPr>
                <w:rFonts w:ascii="Times New Roman" w:hAnsi="Times New Roman" w:cs="Times New Roman"/>
                <w:sz w:val="18"/>
                <w:szCs w:val="18"/>
              </w:rPr>
            </w:pPr>
          </w:p>
        </w:tc>
        <w:tc>
          <w:tcPr>
            <w:tcW w:w="1137" w:type="dxa"/>
          </w:tcPr>
          <w:p w:rsidR="0034708D" w:rsidRPr="00E802D0" w:rsidRDefault="000E3F84"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4.8.</w:t>
            </w:r>
          </w:p>
        </w:tc>
        <w:tc>
          <w:tcPr>
            <w:tcW w:w="6386" w:type="dxa"/>
          </w:tcPr>
          <w:p w:rsidR="0034708D" w:rsidRPr="00E802D0" w:rsidRDefault="000E3F84" w:rsidP="000E3F84">
            <w:pPr>
              <w:pStyle w:val="Tflutexti"/>
              <w:numPr>
                <w:ilvl w:val="0"/>
                <w:numId w:val="8"/>
              </w:numPr>
              <w:spacing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Nafnvextir,</w:t>
            </w:r>
          </w:p>
          <w:p w:rsidR="000E3F84" w:rsidRPr="00E802D0" w:rsidRDefault="000E3F84" w:rsidP="000E3F84">
            <w:pPr>
              <w:pStyle w:val="Tflutexti"/>
              <w:numPr>
                <w:ilvl w:val="0"/>
                <w:numId w:val="8"/>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ákvæði um vexti til greiðslu,</w:t>
            </w:r>
          </w:p>
          <w:p w:rsidR="000E3F84" w:rsidRPr="00E802D0" w:rsidRDefault="000E3F84" w:rsidP="000E3F84">
            <w:pPr>
              <w:pStyle w:val="Tflutexti"/>
              <w:numPr>
                <w:ilvl w:val="0"/>
                <w:numId w:val="8"/>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upphafsdagur vaxta,</w:t>
            </w:r>
          </w:p>
          <w:p w:rsidR="000E3F84" w:rsidRPr="00E802D0" w:rsidRDefault="000E3F84" w:rsidP="000E3F84">
            <w:pPr>
              <w:pStyle w:val="Tflutexti"/>
              <w:numPr>
                <w:ilvl w:val="0"/>
                <w:numId w:val="8"/>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gjalddagar vaxta,</w:t>
            </w:r>
          </w:p>
          <w:p w:rsidR="000E3F84" w:rsidRPr="00E802D0" w:rsidRDefault="000E3F84" w:rsidP="000E3F84">
            <w:pPr>
              <w:pStyle w:val="Tflutexti"/>
              <w:numPr>
                <w:ilvl w:val="0"/>
                <w:numId w:val="8"/>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fyrningarfrestur á vaxtakröfum og kröfum til endurgreiðslu höfuðstóls,</w:t>
            </w:r>
          </w:p>
          <w:p w:rsidR="000E3F84" w:rsidRPr="00E802D0" w:rsidRDefault="000E3F84" w:rsidP="000E3F84">
            <w:pPr>
              <w:pStyle w:val="Tflutexti"/>
              <w:spacing w:line="240" w:lineRule="auto"/>
              <w:ind w:left="309" w:hanging="283"/>
              <w:rPr>
                <w:rFonts w:ascii="Times New Roman" w:hAnsi="Times New Roman" w:cs="Times New Roman"/>
                <w:sz w:val="18"/>
                <w:szCs w:val="18"/>
              </w:rPr>
            </w:pPr>
            <w:r w:rsidRPr="00E802D0">
              <w:rPr>
                <w:rFonts w:ascii="Times New Roman" w:hAnsi="Times New Roman" w:cs="Times New Roman"/>
                <w:sz w:val="18"/>
                <w:szCs w:val="18"/>
              </w:rPr>
              <w:t>Ef vextirnir eru ekki fastir:</w:t>
            </w:r>
          </w:p>
          <w:p w:rsidR="000E3F84" w:rsidRPr="00E802D0" w:rsidRDefault="000E3F84" w:rsidP="000E3F84">
            <w:pPr>
              <w:pStyle w:val="Tflutexti"/>
              <w:numPr>
                <w:ilvl w:val="0"/>
                <w:numId w:val="9"/>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tilgreining á tegund undirliggjandi þáttar,</w:t>
            </w:r>
          </w:p>
          <w:p w:rsidR="000E3F84" w:rsidRPr="00E802D0" w:rsidRDefault="000E3F84" w:rsidP="000E3F84">
            <w:pPr>
              <w:pStyle w:val="Tflutexti"/>
              <w:numPr>
                <w:ilvl w:val="0"/>
                <w:numId w:val="9"/>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lýsing á þeim undirliggjandi þætti sem vextirnir byggjast á,</w:t>
            </w:r>
          </w:p>
          <w:p w:rsidR="000E3F84" w:rsidRPr="00E802D0" w:rsidRDefault="000E3F84" w:rsidP="000E3F84">
            <w:pPr>
              <w:pStyle w:val="Tflutexti"/>
              <w:numPr>
                <w:ilvl w:val="0"/>
                <w:numId w:val="9"/>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aðferð sem er notuð til að tengja vextina við undirliggjandi þáttinn,</w:t>
            </w:r>
          </w:p>
          <w:p w:rsidR="000E3F84" w:rsidRPr="00E802D0" w:rsidRDefault="000E3F84" w:rsidP="000E3F84">
            <w:pPr>
              <w:pStyle w:val="Tflutexti"/>
              <w:numPr>
                <w:ilvl w:val="0"/>
                <w:numId w:val="9"/>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hvar má nálgast upplýsingar um fyrri árangur og framtíðarárangur undirliggjandi þáttar og flökt hans með rafrænum hætti og hvort hægt sé að nálgast þær ókeypis,</w:t>
            </w:r>
          </w:p>
          <w:p w:rsidR="000E3F84" w:rsidRPr="00E802D0" w:rsidRDefault="000E3F84" w:rsidP="000E3F84">
            <w:pPr>
              <w:pStyle w:val="Tflutexti"/>
              <w:numPr>
                <w:ilvl w:val="0"/>
                <w:numId w:val="9"/>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lýsing á hvers kyns röskun á markaði eða atburðum sem valda röskun á greiðsluuppgjöri sem hafa áhrif á undirliggjandi þætti,</w:t>
            </w:r>
          </w:p>
          <w:p w:rsidR="000E3F84" w:rsidRPr="00E802D0" w:rsidRDefault="000E3F84" w:rsidP="000E3F84">
            <w:pPr>
              <w:pStyle w:val="Tflutexti"/>
              <w:numPr>
                <w:ilvl w:val="0"/>
                <w:numId w:val="9"/>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leiðréttingarreglur sem tengjast atburðum sem hafa áhrif á undirliggjandi þætti,</w:t>
            </w:r>
          </w:p>
          <w:p w:rsidR="000E3F84" w:rsidRPr="00E802D0" w:rsidRDefault="000E3F84" w:rsidP="000E3F84">
            <w:pPr>
              <w:pStyle w:val="Tflutexti"/>
              <w:numPr>
                <w:ilvl w:val="0"/>
                <w:numId w:val="9"/>
              </w:numPr>
              <w:spacing w:before="0" w:after="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nafn þess aðila sem sér um útreikning,</w:t>
            </w:r>
          </w:p>
          <w:p w:rsidR="000E3F84" w:rsidRPr="00E802D0" w:rsidRDefault="000E3F84" w:rsidP="000E3F84">
            <w:pPr>
              <w:pStyle w:val="Tflutexti"/>
              <w:numPr>
                <w:ilvl w:val="0"/>
                <w:numId w:val="9"/>
              </w:numPr>
              <w:spacing w:before="0" w:line="240" w:lineRule="auto"/>
              <w:ind w:left="312" w:hanging="284"/>
              <w:rPr>
                <w:rFonts w:ascii="Times New Roman" w:hAnsi="Times New Roman" w:cs="Times New Roman"/>
                <w:sz w:val="18"/>
                <w:szCs w:val="18"/>
              </w:rPr>
            </w:pPr>
            <w:r w:rsidRPr="00E802D0">
              <w:rPr>
                <w:rFonts w:ascii="Times New Roman" w:hAnsi="Times New Roman" w:cs="Times New Roman"/>
                <w:sz w:val="18"/>
                <w:szCs w:val="18"/>
              </w:rPr>
              <w:t>sé afleiða þáttur í vaxtagreiðslum af verðbréfinu skal gefa skýra og ítarlega skýringu til að hjálpa fjárfestum að skilja hvernig virði undirliggjandi gernings eða gerninga hefur áhrif á virði fjárfestingar þeirra, einkum við aðstæður þar sem áhætta er augljós.</w:t>
            </w:r>
          </w:p>
        </w:tc>
        <w:tc>
          <w:tcPr>
            <w:tcW w:w="989" w:type="dxa"/>
          </w:tcPr>
          <w:p w:rsidR="0034708D" w:rsidRPr="00E802D0" w:rsidRDefault="00FA026D"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FA026D" w:rsidRPr="00E802D0" w:rsidRDefault="00FA026D" w:rsidP="002D383E">
            <w:pPr>
              <w:pStyle w:val="Tflutexti"/>
              <w:spacing w:line="240" w:lineRule="auto"/>
              <w:rPr>
                <w:rFonts w:ascii="Times New Roman" w:hAnsi="Times New Roman" w:cs="Times New Roman"/>
                <w:sz w:val="18"/>
                <w:szCs w:val="18"/>
              </w:rPr>
            </w:pPr>
          </w:p>
          <w:p w:rsidR="00FA026D" w:rsidRPr="00E802D0" w:rsidRDefault="00FA026D"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FA026D" w:rsidRPr="00E802D0" w:rsidRDefault="00FA026D" w:rsidP="00FA026D">
            <w:pPr>
              <w:pStyle w:val="Tflutexti"/>
              <w:spacing w:before="0" w:after="0" w:line="240" w:lineRule="auto"/>
              <w:rPr>
                <w:rFonts w:ascii="Times New Roman" w:hAnsi="Times New Roman" w:cs="Times New Roman"/>
                <w:sz w:val="18"/>
                <w:szCs w:val="18"/>
              </w:rPr>
            </w:pP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FA026D" w:rsidRPr="00E802D0" w:rsidRDefault="00FA026D" w:rsidP="00FA026D">
            <w:pPr>
              <w:pStyle w:val="Tflutexti"/>
              <w:spacing w:before="0" w:after="0" w:line="240" w:lineRule="auto"/>
              <w:rPr>
                <w:rFonts w:ascii="Times New Roman" w:hAnsi="Times New Roman" w:cs="Times New Roman"/>
                <w:sz w:val="18"/>
                <w:szCs w:val="18"/>
              </w:rPr>
            </w:pP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FA026D" w:rsidRPr="00E802D0" w:rsidRDefault="00FA026D" w:rsidP="00FA026D">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FA026D" w:rsidRPr="00E802D0" w:rsidRDefault="00FA026D" w:rsidP="002D383E">
            <w:pPr>
              <w:pStyle w:val="Tflutexti"/>
              <w:spacing w:line="240" w:lineRule="auto"/>
              <w:rPr>
                <w:rFonts w:ascii="Times New Roman" w:hAnsi="Times New Roman" w:cs="Times New Roman"/>
                <w:sz w:val="18"/>
                <w:szCs w:val="18"/>
              </w:rPr>
            </w:pP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EB1F15"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4.9.</w:t>
            </w:r>
          </w:p>
        </w:tc>
        <w:tc>
          <w:tcPr>
            <w:tcW w:w="6386" w:type="dxa"/>
          </w:tcPr>
          <w:p w:rsidR="00EB1F15" w:rsidRPr="00E802D0" w:rsidRDefault="00EB1F15" w:rsidP="00EB1F15">
            <w:pPr>
              <w:pStyle w:val="Tflutexti"/>
              <w:numPr>
                <w:ilvl w:val="0"/>
                <w:numId w:val="10"/>
              </w:numPr>
              <w:spacing w:after="0" w:line="240" w:lineRule="auto"/>
              <w:ind w:left="309" w:hanging="266"/>
              <w:rPr>
                <w:rFonts w:ascii="Times New Roman" w:hAnsi="Times New Roman" w:cs="Times New Roman"/>
                <w:sz w:val="18"/>
                <w:szCs w:val="18"/>
              </w:rPr>
            </w:pPr>
            <w:r w:rsidRPr="00E802D0">
              <w:rPr>
                <w:rFonts w:ascii="Times New Roman" w:hAnsi="Times New Roman" w:cs="Times New Roman"/>
                <w:sz w:val="18"/>
                <w:szCs w:val="18"/>
              </w:rPr>
              <w:t>Lokadagur.</w:t>
            </w:r>
          </w:p>
          <w:p w:rsidR="00EB1F15" w:rsidRPr="00E802D0" w:rsidRDefault="00EB1F15" w:rsidP="00EB1F15">
            <w:pPr>
              <w:pStyle w:val="Tflutexti"/>
              <w:numPr>
                <w:ilvl w:val="0"/>
                <w:numId w:val="10"/>
              </w:numPr>
              <w:spacing w:before="0" w:line="240" w:lineRule="auto"/>
              <w:ind w:left="311" w:hanging="266"/>
              <w:rPr>
                <w:rFonts w:ascii="Times New Roman" w:hAnsi="Times New Roman" w:cs="Times New Roman"/>
                <w:sz w:val="18"/>
                <w:szCs w:val="18"/>
              </w:rPr>
            </w:pPr>
            <w:r w:rsidRPr="00E802D0">
              <w:rPr>
                <w:rFonts w:ascii="Times New Roman" w:hAnsi="Times New Roman" w:cs="Times New Roman"/>
                <w:sz w:val="18"/>
                <w:szCs w:val="18"/>
              </w:rPr>
              <w:t>Upplýsingar um fyrirkomulag á niðurgreiðslu lánsins, þ.m.t. hvernig endurgreiðslur fara fram. Sé fyrirhugað að flýta niðurgreiðslu lánsins, að frumkvæði útgefanda eða eiganda verðbréfsins, skal gera grein fyrir skilmálum niðurgreiðslunnar</w:t>
            </w:r>
          </w:p>
        </w:tc>
        <w:tc>
          <w:tcPr>
            <w:tcW w:w="989" w:type="dxa"/>
          </w:tcPr>
          <w:p w:rsidR="00EB1F15" w:rsidRPr="00E802D0" w:rsidRDefault="00EB1F15" w:rsidP="00EB1F15">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EB1F15" w:rsidRPr="00E802D0" w:rsidRDefault="00EB1F15" w:rsidP="00EB1F15">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EB1F15" w:rsidRPr="00E802D0" w:rsidRDefault="00EB1F15" w:rsidP="00FA026D">
            <w:pPr>
              <w:pStyle w:val="Tflutexti"/>
              <w:spacing w:after="0" w:line="240" w:lineRule="auto"/>
              <w:rPr>
                <w:rFonts w:ascii="Times New Roman" w:hAnsi="Times New Roman" w:cs="Times New Roman"/>
                <w:sz w:val="18"/>
                <w:szCs w:val="18"/>
              </w:rPr>
            </w:pP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EB1F15"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4.10.</w:t>
            </w:r>
          </w:p>
        </w:tc>
        <w:tc>
          <w:tcPr>
            <w:tcW w:w="6386" w:type="dxa"/>
          </w:tcPr>
          <w:p w:rsidR="00EB1F15" w:rsidRPr="00E802D0" w:rsidRDefault="00EB1F15" w:rsidP="00EB1F15">
            <w:pPr>
              <w:pStyle w:val="Tflutexti"/>
              <w:numPr>
                <w:ilvl w:val="0"/>
                <w:numId w:val="11"/>
              </w:numPr>
              <w:spacing w:after="0" w:line="240" w:lineRule="auto"/>
              <w:ind w:left="309" w:hanging="283"/>
              <w:rPr>
                <w:rFonts w:ascii="Times New Roman" w:hAnsi="Times New Roman" w:cs="Times New Roman"/>
                <w:sz w:val="18"/>
                <w:szCs w:val="18"/>
              </w:rPr>
            </w:pPr>
            <w:r w:rsidRPr="00E802D0">
              <w:rPr>
                <w:rFonts w:ascii="Times New Roman" w:hAnsi="Times New Roman" w:cs="Times New Roman"/>
                <w:sz w:val="18"/>
                <w:szCs w:val="18"/>
              </w:rPr>
              <w:t>Upplýsingar um ávöxtun.</w:t>
            </w:r>
          </w:p>
          <w:p w:rsidR="00EB1F15" w:rsidRPr="00E802D0" w:rsidRDefault="00EB1F15" w:rsidP="00EB1F15">
            <w:pPr>
              <w:pStyle w:val="Tflutexti"/>
              <w:numPr>
                <w:ilvl w:val="0"/>
                <w:numId w:val="11"/>
              </w:numPr>
              <w:spacing w:before="0" w:line="240" w:lineRule="auto"/>
              <w:ind w:left="309" w:hanging="283"/>
              <w:rPr>
                <w:rFonts w:ascii="Times New Roman" w:hAnsi="Times New Roman" w:cs="Times New Roman"/>
                <w:sz w:val="18"/>
                <w:szCs w:val="18"/>
              </w:rPr>
            </w:pPr>
            <w:r w:rsidRPr="00E802D0">
              <w:rPr>
                <w:rFonts w:ascii="Times New Roman" w:hAnsi="Times New Roman" w:cs="Times New Roman"/>
                <w:sz w:val="18"/>
                <w:szCs w:val="18"/>
              </w:rPr>
              <w:t>Lýsa skal í stuttu máli þeirri aðferð sem er notuð til að reikna út ávöxtunina í a-lið.</w:t>
            </w:r>
          </w:p>
        </w:tc>
        <w:tc>
          <w:tcPr>
            <w:tcW w:w="989" w:type="dxa"/>
          </w:tcPr>
          <w:p w:rsidR="00EB1F15" w:rsidRPr="00E802D0" w:rsidRDefault="00EB1F15" w:rsidP="00EB1F15">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EB1F15" w:rsidRPr="00E802D0" w:rsidRDefault="00EB1F15" w:rsidP="00EB1F15">
            <w:pPr>
              <w:pStyle w:val="Tflutexti"/>
              <w:spacing w:before="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F72C3C"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4.11.</w:t>
            </w:r>
          </w:p>
        </w:tc>
        <w:tc>
          <w:tcPr>
            <w:tcW w:w="6386" w:type="dxa"/>
          </w:tcPr>
          <w:p w:rsidR="00EB1F15" w:rsidRPr="00E802D0" w:rsidRDefault="00F72C3C" w:rsidP="002C1F03">
            <w:pPr>
              <w:pStyle w:val="Tflutexti"/>
              <w:spacing w:line="240" w:lineRule="auto"/>
              <w:ind w:left="26"/>
              <w:rPr>
                <w:rFonts w:ascii="Times New Roman" w:hAnsi="Times New Roman" w:cs="Times New Roman"/>
                <w:sz w:val="18"/>
                <w:szCs w:val="18"/>
              </w:rPr>
            </w:pPr>
            <w:r w:rsidRPr="00E802D0">
              <w:rPr>
                <w:rFonts w:ascii="Times New Roman" w:hAnsi="Times New Roman" w:cs="Times New Roman"/>
                <w:sz w:val="18"/>
                <w:szCs w:val="18"/>
              </w:rPr>
              <w:t>Fyrirsvar fyrir eigendur verðbréfa sem ekki eru hlutabréfatengd, þ.m.t. upplýsingar um aðilann sem er í fyrirsvari fyrir fjárfestana og ákvæði sem gilda um slíkt fyrirsvar. Upplýsingar um vefsetur þar sem almenningur getur haft frjálsan aðgang að samningum í tengslum við þessar aðferðir við fyrirsvar.</w:t>
            </w:r>
          </w:p>
        </w:tc>
        <w:tc>
          <w:tcPr>
            <w:tcW w:w="989" w:type="dxa"/>
          </w:tcPr>
          <w:p w:rsidR="00EB1F15" w:rsidRPr="00E802D0" w:rsidRDefault="00F72C3C"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2C1F03"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4.12.</w:t>
            </w:r>
          </w:p>
        </w:tc>
        <w:tc>
          <w:tcPr>
            <w:tcW w:w="6386" w:type="dxa"/>
          </w:tcPr>
          <w:p w:rsidR="00EB1F15" w:rsidRPr="00E802D0" w:rsidRDefault="002C1F03" w:rsidP="002C1F03">
            <w:pPr>
              <w:pStyle w:val="Tflutexti"/>
              <w:spacing w:after="0" w:line="240" w:lineRule="auto"/>
              <w:ind w:left="26"/>
              <w:rPr>
                <w:rFonts w:ascii="Times New Roman" w:hAnsi="Times New Roman" w:cs="Times New Roman"/>
                <w:sz w:val="18"/>
                <w:szCs w:val="18"/>
              </w:rPr>
            </w:pPr>
            <w:r w:rsidRPr="00E802D0">
              <w:rPr>
                <w:rFonts w:ascii="Times New Roman" w:hAnsi="Times New Roman" w:cs="Times New Roman"/>
                <w:sz w:val="18"/>
                <w:szCs w:val="18"/>
              </w:rPr>
              <w:t>Sé um að ræða nýja útgáfu skal fylgja yfirlit um ályktanir, heimildir og samþykki sem liggja því til grundvallar að verðbréf hafa verið eða verða stofnuð og/eða gefin út.</w:t>
            </w:r>
          </w:p>
        </w:tc>
        <w:tc>
          <w:tcPr>
            <w:tcW w:w="989" w:type="dxa"/>
          </w:tcPr>
          <w:p w:rsidR="00EB1F15" w:rsidRPr="00E802D0" w:rsidRDefault="002C1F03"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2C1F03"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4.13.</w:t>
            </w:r>
          </w:p>
        </w:tc>
        <w:tc>
          <w:tcPr>
            <w:tcW w:w="6386" w:type="dxa"/>
          </w:tcPr>
          <w:p w:rsidR="00EB1F15" w:rsidRPr="00E802D0" w:rsidRDefault="002C1F03" w:rsidP="008D2569">
            <w:pPr>
              <w:pStyle w:val="Tflutexti"/>
              <w:spacing w:after="0" w:line="240" w:lineRule="auto"/>
              <w:ind w:left="28"/>
              <w:rPr>
                <w:rFonts w:ascii="Times New Roman" w:hAnsi="Times New Roman" w:cs="Times New Roman"/>
                <w:sz w:val="18"/>
                <w:szCs w:val="18"/>
              </w:rPr>
            </w:pPr>
            <w:r w:rsidRPr="00E802D0">
              <w:rPr>
                <w:rFonts w:ascii="Times New Roman" w:hAnsi="Times New Roman" w:cs="Times New Roman"/>
                <w:sz w:val="18"/>
                <w:szCs w:val="18"/>
              </w:rPr>
              <w:t>Útgáfudagur eða sé um að ræða nýjar útgáfur væntanlegur útgáfudagur verðbréfanna.</w:t>
            </w:r>
          </w:p>
        </w:tc>
        <w:tc>
          <w:tcPr>
            <w:tcW w:w="989" w:type="dxa"/>
          </w:tcPr>
          <w:p w:rsidR="00EB1F15" w:rsidRPr="00E802D0" w:rsidRDefault="002C1F03"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2C1F03"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4.14.</w:t>
            </w:r>
          </w:p>
        </w:tc>
        <w:tc>
          <w:tcPr>
            <w:tcW w:w="6386" w:type="dxa"/>
          </w:tcPr>
          <w:p w:rsidR="00EB1F15" w:rsidRPr="00E802D0" w:rsidRDefault="002C1F03"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Lýsing á hvers kyns takmörkunum á framsali verðbréfanna.</w:t>
            </w:r>
          </w:p>
        </w:tc>
        <w:tc>
          <w:tcPr>
            <w:tcW w:w="989" w:type="dxa"/>
          </w:tcPr>
          <w:p w:rsidR="00EB1F15" w:rsidRPr="00E802D0" w:rsidRDefault="002C1F03"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2C1F03"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4.15.</w:t>
            </w:r>
          </w:p>
        </w:tc>
        <w:tc>
          <w:tcPr>
            <w:tcW w:w="6386" w:type="dxa"/>
          </w:tcPr>
          <w:p w:rsidR="002C1F03" w:rsidRPr="00E802D0" w:rsidRDefault="002C1F03" w:rsidP="002C1F03">
            <w:pPr>
              <w:pStyle w:val="Tflutexti"/>
              <w:rPr>
                <w:rFonts w:ascii="Times New Roman" w:hAnsi="Times New Roman" w:cs="Times New Roman"/>
                <w:sz w:val="18"/>
                <w:szCs w:val="18"/>
              </w:rPr>
            </w:pPr>
            <w:r w:rsidRPr="00E802D0">
              <w:rPr>
                <w:rFonts w:ascii="Times New Roman" w:hAnsi="Times New Roman" w:cs="Times New Roman"/>
                <w:sz w:val="18"/>
                <w:szCs w:val="18"/>
              </w:rPr>
              <w:t>Viðvörun um að skattalög aðildarríkis fjárfestisins og skráningarlands útgefanda gætu haft áhrif á tekjur af verðbréfunum.</w:t>
            </w:r>
          </w:p>
          <w:p w:rsidR="00EB1F15" w:rsidRPr="00E802D0" w:rsidRDefault="002C1F03" w:rsidP="002C1F03">
            <w:pPr>
              <w:pStyle w:val="Tflutexti"/>
              <w:rPr>
                <w:rFonts w:ascii="Times New Roman" w:hAnsi="Times New Roman" w:cs="Times New Roman"/>
                <w:sz w:val="18"/>
                <w:szCs w:val="18"/>
              </w:rPr>
            </w:pPr>
            <w:r w:rsidRPr="00E802D0">
              <w:rPr>
                <w:rFonts w:ascii="Times New Roman" w:hAnsi="Times New Roman" w:cs="Times New Roman"/>
                <w:sz w:val="18"/>
                <w:szCs w:val="18"/>
              </w:rPr>
              <w:t>Upplýsingar um skattlagningu verðbréfanna ef fyrirhuguð fjárfesting fellur undir skattareglur sem eru sértækar fyrir viðkomandi tegund fjárfestinga.</w:t>
            </w:r>
          </w:p>
        </w:tc>
        <w:tc>
          <w:tcPr>
            <w:tcW w:w="989" w:type="dxa"/>
          </w:tcPr>
          <w:p w:rsidR="00EB1F15" w:rsidRPr="00E802D0" w:rsidRDefault="002C1F03"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DE116E"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4.16.</w:t>
            </w:r>
          </w:p>
        </w:tc>
        <w:tc>
          <w:tcPr>
            <w:tcW w:w="6386" w:type="dxa"/>
          </w:tcPr>
          <w:p w:rsidR="00EB1F15" w:rsidRPr="00E802D0" w:rsidRDefault="00DE116E" w:rsidP="00DE116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Sé sá sem býður út verðbréfin og/eða sækir um töku til viðskipta annar en útgefandi skal tilgreina hver hann er og samskiptaupplýsingar hans, þ.m.t. auðkenni lögaðila (LEI-númer) ef hann er lögaðili.</w:t>
            </w:r>
          </w:p>
        </w:tc>
        <w:tc>
          <w:tcPr>
            <w:tcW w:w="989" w:type="dxa"/>
            <w:tcBorders>
              <w:bottom w:val="single" w:sz="4" w:space="0" w:color="auto"/>
            </w:tcBorders>
          </w:tcPr>
          <w:p w:rsidR="00EB1F15" w:rsidRPr="00E802D0" w:rsidRDefault="00DE116E"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2834C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br w:type="page"/>
            </w:r>
          </w:p>
        </w:tc>
        <w:tc>
          <w:tcPr>
            <w:tcW w:w="1137" w:type="dxa"/>
          </w:tcPr>
          <w:p w:rsidR="00EB1F15" w:rsidRPr="00E802D0" w:rsidRDefault="008D2569"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5. ÞÁTTUR</w:t>
            </w:r>
          </w:p>
        </w:tc>
        <w:tc>
          <w:tcPr>
            <w:tcW w:w="6386" w:type="dxa"/>
            <w:tcBorders>
              <w:right w:val="nil"/>
            </w:tcBorders>
          </w:tcPr>
          <w:p w:rsidR="00EB1F15" w:rsidRPr="00E802D0" w:rsidRDefault="008D2569" w:rsidP="008D2569">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SKILMÁLAR ALMENNS ÚTBOÐS VERÐBRÉFA</w:t>
            </w:r>
          </w:p>
        </w:tc>
        <w:tc>
          <w:tcPr>
            <w:tcW w:w="989" w:type="dxa"/>
            <w:tcBorders>
              <w:left w:val="nil"/>
            </w:tcBorders>
          </w:tcPr>
          <w:p w:rsidR="00EB1F15" w:rsidRPr="00E802D0" w:rsidRDefault="00EB1F15" w:rsidP="00FA026D">
            <w:pPr>
              <w:pStyle w:val="Tflutexti"/>
              <w:spacing w:after="0" w:line="240" w:lineRule="auto"/>
              <w:rPr>
                <w:rFonts w:ascii="Times New Roman" w:hAnsi="Times New Roman" w:cs="Times New Roman"/>
                <w:sz w:val="18"/>
                <w:szCs w:val="18"/>
              </w:rPr>
            </w:pP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5.1.</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Skilmálar, tölfræðilegar upplýsingar um útboð, fyrirhuguð tímaáætlun og ráðstafanir sem þarf að gera til að taka þátt í útboðinu</w:t>
            </w:r>
          </w:p>
        </w:tc>
        <w:tc>
          <w:tcPr>
            <w:tcW w:w="989" w:type="dxa"/>
          </w:tcPr>
          <w:p w:rsidR="00EB1F15" w:rsidRPr="00E802D0" w:rsidRDefault="00EB1F15" w:rsidP="00FA026D">
            <w:pPr>
              <w:pStyle w:val="Tflutexti"/>
              <w:spacing w:after="0" w:line="240" w:lineRule="auto"/>
              <w:rPr>
                <w:rFonts w:ascii="Times New Roman" w:hAnsi="Times New Roman" w:cs="Times New Roman"/>
                <w:sz w:val="18"/>
                <w:szCs w:val="18"/>
              </w:rPr>
            </w:pP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5.1.1.</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Skilmálar sem gilda um útboðið.</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5.1.2.</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Upplýsingar um útboðstímabilið, þ.m.t. hvers kyns mögulegar breytingar. Lýsing á áskriftarferlinu.</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5.1.3.</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Upplýsingar um mögulegar skerðingar á áskriftum og með hvaða hætti endurgreiðsla umframfjárhæða, sem umsækjendur hafa greitt, fer fram.</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5.1.4.</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Upplýsingar um lágmarks- og/eða hámarksmagn áskriftar (hvort sem er í formi fjölda verðbréfa eða samanlagðrar fjárfestingarfjárhæðar).</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453322">
            <w:pPr>
              <w:pStyle w:val="Tflutexti"/>
              <w:tabs>
                <w:tab w:val="left" w:pos="657"/>
              </w:tabs>
              <w:spacing w:line="240" w:lineRule="auto"/>
              <w:rPr>
                <w:rFonts w:ascii="Times New Roman" w:hAnsi="Times New Roman" w:cs="Times New Roman"/>
                <w:sz w:val="18"/>
                <w:szCs w:val="18"/>
              </w:rPr>
            </w:pPr>
            <w:r w:rsidRPr="00E802D0">
              <w:rPr>
                <w:rFonts w:ascii="Times New Roman" w:hAnsi="Times New Roman" w:cs="Times New Roman"/>
                <w:sz w:val="18"/>
                <w:szCs w:val="18"/>
              </w:rPr>
              <w:t>Liður 5.1.</w:t>
            </w:r>
            <w:r w:rsidRPr="00E802D0">
              <w:rPr>
                <w:rFonts w:ascii="Times New Roman" w:hAnsi="Times New Roman" w:cs="Times New Roman"/>
                <w:sz w:val="18"/>
                <w:szCs w:val="18"/>
              </w:rPr>
              <w:tab/>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Skipulag og tímamörk greiðslu og afhendingar verðbréfa.</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5.1.6.</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Ítarleg lýsing á því hvernig og á hvaða degi niðurstöður útboðsins verða birtar opinberlega.</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5.1.7.</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Tilhögun við nýtingu forkaupsréttar, framsal áskriftarréttinda og hvernig farið skuli með áskriftarréttindi sem ekki eru nýtt.</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5.2.</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Skipulag dreifingar og úthlutunar.</w:t>
            </w:r>
          </w:p>
        </w:tc>
        <w:tc>
          <w:tcPr>
            <w:tcW w:w="989" w:type="dxa"/>
          </w:tcPr>
          <w:p w:rsidR="00EB1F15" w:rsidRPr="00E802D0" w:rsidRDefault="00EB1F15" w:rsidP="00FA026D">
            <w:pPr>
              <w:pStyle w:val="Tflutexti"/>
              <w:spacing w:after="0" w:line="240" w:lineRule="auto"/>
              <w:rPr>
                <w:rFonts w:ascii="Times New Roman" w:hAnsi="Times New Roman" w:cs="Times New Roman"/>
                <w:sz w:val="18"/>
                <w:szCs w:val="18"/>
              </w:rPr>
            </w:pP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5.2.1.</w:t>
            </w:r>
          </w:p>
        </w:tc>
        <w:tc>
          <w:tcPr>
            <w:tcW w:w="6386" w:type="dxa"/>
          </w:tcPr>
          <w:p w:rsidR="00453322" w:rsidRPr="00E802D0" w:rsidRDefault="00453322" w:rsidP="00453322">
            <w:pPr>
              <w:pStyle w:val="Tflutexti"/>
              <w:rPr>
                <w:rFonts w:ascii="Times New Roman" w:hAnsi="Times New Roman" w:cs="Times New Roman"/>
                <w:sz w:val="18"/>
                <w:szCs w:val="18"/>
              </w:rPr>
            </w:pPr>
            <w:r w:rsidRPr="00E802D0">
              <w:rPr>
                <w:rFonts w:ascii="Times New Roman" w:hAnsi="Times New Roman" w:cs="Times New Roman"/>
                <w:sz w:val="18"/>
                <w:szCs w:val="18"/>
              </w:rPr>
              <w:t>Mismunandi flokkar mögulegra fjárfesta sem verðbréfin eru boðin.</w:t>
            </w:r>
          </w:p>
          <w:p w:rsidR="00EB1F15" w:rsidRPr="00E802D0" w:rsidRDefault="00453322" w:rsidP="00453322">
            <w:pPr>
              <w:pStyle w:val="Tflutexti"/>
              <w:rPr>
                <w:rFonts w:ascii="Times New Roman" w:hAnsi="Times New Roman" w:cs="Times New Roman"/>
                <w:sz w:val="18"/>
                <w:szCs w:val="18"/>
              </w:rPr>
            </w:pPr>
            <w:r w:rsidRPr="00E802D0">
              <w:rPr>
                <w:rFonts w:ascii="Times New Roman" w:hAnsi="Times New Roman" w:cs="Times New Roman"/>
                <w:sz w:val="18"/>
                <w:szCs w:val="18"/>
              </w:rPr>
              <w:t>Fari útboð fram samtímis á mörkuðum í tveimur eða fleiri löndum og ef ákveðinn hluti þess hefur verið tekinn frá eða er tekinn frá fyrir einhverja af þessum mörkuðum skulu allir slíkir hlutar tilgreindir.</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EB1F15" w:rsidRPr="00E802D0" w:rsidTr="00E802D0">
        <w:trPr>
          <w:trHeight w:val="567"/>
        </w:trPr>
        <w:tc>
          <w:tcPr>
            <w:tcW w:w="848" w:type="dxa"/>
          </w:tcPr>
          <w:p w:rsidR="00EB1F15" w:rsidRPr="00E802D0" w:rsidRDefault="00EB1F15" w:rsidP="002D383E">
            <w:pPr>
              <w:pStyle w:val="Tflutexti"/>
              <w:spacing w:line="240" w:lineRule="auto"/>
              <w:rPr>
                <w:rFonts w:ascii="Times New Roman" w:hAnsi="Times New Roman" w:cs="Times New Roman"/>
                <w:sz w:val="18"/>
                <w:szCs w:val="18"/>
              </w:rPr>
            </w:pPr>
          </w:p>
        </w:tc>
        <w:tc>
          <w:tcPr>
            <w:tcW w:w="1137" w:type="dxa"/>
          </w:tcPr>
          <w:p w:rsidR="00EB1F15" w:rsidRPr="00E802D0" w:rsidRDefault="00453322"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5.2.2.</w:t>
            </w:r>
          </w:p>
        </w:tc>
        <w:tc>
          <w:tcPr>
            <w:tcW w:w="6386" w:type="dxa"/>
          </w:tcPr>
          <w:p w:rsidR="00EB1F15" w:rsidRPr="00E802D0" w:rsidRDefault="00453322"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Ferli til að tilkynna umsækjendum um úthlutaða fjárhæð og tilgreining þess hvort viðskipti mega hefjast áður en tilkynning berst þeim.</w:t>
            </w:r>
          </w:p>
        </w:tc>
        <w:tc>
          <w:tcPr>
            <w:tcW w:w="989" w:type="dxa"/>
          </w:tcPr>
          <w:p w:rsidR="00EB1F15" w:rsidRPr="00E802D0" w:rsidRDefault="00453322"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753BAC"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5.3.</w:t>
            </w:r>
          </w:p>
        </w:tc>
        <w:tc>
          <w:tcPr>
            <w:tcW w:w="6386" w:type="dxa"/>
          </w:tcPr>
          <w:p w:rsidR="00753BAC" w:rsidRPr="00E802D0" w:rsidRDefault="00753BAC"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Verðlagning</w:t>
            </w:r>
          </w:p>
        </w:tc>
        <w:tc>
          <w:tcPr>
            <w:tcW w:w="989" w:type="dxa"/>
          </w:tcPr>
          <w:p w:rsidR="00753BAC" w:rsidRPr="00E802D0" w:rsidRDefault="00753BAC" w:rsidP="00FA026D">
            <w:pPr>
              <w:pStyle w:val="Tflutexti"/>
              <w:spacing w:after="0" w:line="240" w:lineRule="auto"/>
              <w:rPr>
                <w:rFonts w:ascii="Times New Roman" w:hAnsi="Times New Roman" w:cs="Times New Roman"/>
                <w:sz w:val="18"/>
                <w:szCs w:val="18"/>
              </w:rPr>
            </w:pP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753BAC"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5.3.1.</w:t>
            </w:r>
          </w:p>
        </w:tc>
        <w:tc>
          <w:tcPr>
            <w:tcW w:w="6386" w:type="dxa"/>
          </w:tcPr>
          <w:p w:rsidR="00753BAC" w:rsidRPr="00E802D0" w:rsidRDefault="00753BAC" w:rsidP="00753BAC">
            <w:pPr>
              <w:pStyle w:val="Tflutexti"/>
              <w:numPr>
                <w:ilvl w:val="0"/>
                <w:numId w:val="12"/>
              </w:numPr>
              <w:spacing w:after="0" w:line="240" w:lineRule="auto"/>
              <w:ind w:left="301" w:hanging="284"/>
              <w:rPr>
                <w:rFonts w:ascii="Times New Roman" w:hAnsi="Times New Roman" w:cs="Times New Roman"/>
                <w:sz w:val="18"/>
                <w:szCs w:val="18"/>
              </w:rPr>
            </w:pPr>
            <w:r w:rsidRPr="00E802D0">
              <w:rPr>
                <w:rFonts w:ascii="Times New Roman" w:hAnsi="Times New Roman" w:cs="Times New Roman"/>
                <w:sz w:val="18"/>
                <w:szCs w:val="18"/>
              </w:rPr>
              <w:t>Tilgreina skal verðið sem fyrirhugað er að bjóða verðbréfin á.</w:t>
            </w:r>
          </w:p>
          <w:p w:rsidR="00753BAC" w:rsidRPr="00E802D0" w:rsidRDefault="00753BAC" w:rsidP="00753BAC">
            <w:pPr>
              <w:pStyle w:val="Tflutexti"/>
              <w:numPr>
                <w:ilvl w:val="0"/>
                <w:numId w:val="12"/>
              </w:numPr>
              <w:spacing w:before="0" w:after="0" w:line="240" w:lineRule="auto"/>
              <w:ind w:left="301" w:hanging="284"/>
              <w:rPr>
                <w:rFonts w:ascii="Times New Roman" w:hAnsi="Times New Roman" w:cs="Times New Roman"/>
                <w:sz w:val="18"/>
                <w:szCs w:val="18"/>
              </w:rPr>
            </w:pPr>
            <w:r w:rsidRPr="00E802D0">
              <w:rPr>
                <w:rFonts w:ascii="Times New Roman" w:hAnsi="Times New Roman" w:cs="Times New Roman"/>
                <w:sz w:val="18"/>
                <w:szCs w:val="18"/>
              </w:rPr>
              <w:t>Sé ekki unnt að tilgreina fyrirhugað verð skal lýsa aðferðinni sem notuð er til að ákvarða verðið, skv. 17. gr. reglugerðar (ESB) 2017/1129, og ferlinu við upplýsingagjöf um það.</w:t>
            </w:r>
          </w:p>
          <w:p w:rsidR="00753BAC" w:rsidRPr="00E802D0" w:rsidRDefault="00753BAC" w:rsidP="00753BAC">
            <w:pPr>
              <w:pStyle w:val="Tflutexti"/>
              <w:numPr>
                <w:ilvl w:val="0"/>
                <w:numId w:val="12"/>
              </w:numPr>
              <w:spacing w:before="0" w:line="240" w:lineRule="auto"/>
              <w:ind w:left="301" w:hanging="284"/>
              <w:rPr>
                <w:rFonts w:ascii="Times New Roman" w:hAnsi="Times New Roman" w:cs="Times New Roman"/>
                <w:sz w:val="18"/>
                <w:szCs w:val="18"/>
              </w:rPr>
            </w:pPr>
            <w:r w:rsidRPr="00E802D0">
              <w:rPr>
                <w:rFonts w:ascii="Times New Roman" w:hAnsi="Times New Roman" w:cs="Times New Roman"/>
                <w:sz w:val="18"/>
                <w:szCs w:val="18"/>
              </w:rPr>
              <w:t>Tilgreina skal fjárhæð allra útgjalda og skatta sem áskrifandi eða kaupandi þarf að greiða. Falli útgefandi undir reglugerð (ESB) nr. 1286/2014 eða tilskipun 2014/65/ESB skal tilgreina kostnað sem er innifalinn í verðinu, að því marki sem hann er þekktur.</w:t>
            </w:r>
          </w:p>
        </w:tc>
        <w:tc>
          <w:tcPr>
            <w:tcW w:w="989" w:type="dxa"/>
          </w:tcPr>
          <w:p w:rsidR="00753BAC" w:rsidRPr="00E802D0" w:rsidRDefault="00753BAC" w:rsidP="00753BAC">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p w:rsidR="00753BAC" w:rsidRPr="00E802D0" w:rsidRDefault="00753BAC" w:rsidP="00753BAC">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753BAC" w:rsidRPr="00E802D0" w:rsidRDefault="00753BAC" w:rsidP="00753BAC">
            <w:pPr>
              <w:pStyle w:val="Tflutexti"/>
              <w:spacing w:before="0" w:after="0" w:line="240" w:lineRule="auto"/>
              <w:rPr>
                <w:rFonts w:ascii="Times New Roman" w:hAnsi="Times New Roman" w:cs="Times New Roman"/>
                <w:sz w:val="18"/>
                <w:szCs w:val="18"/>
              </w:rPr>
            </w:pPr>
          </w:p>
          <w:p w:rsidR="00753BAC" w:rsidRPr="00E802D0" w:rsidRDefault="00753BAC" w:rsidP="00753BAC">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173F0B"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5.4.</w:t>
            </w:r>
          </w:p>
        </w:tc>
        <w:tc>
          <w:tcPr>
            <w:tcW w:w="6386" w:type="dxa"/>
          </w:tcPr>
          <w:p w:rsidR="00753BAC" w:rsidRPr="00E802D0" w:rsidRDefault="00173F0B"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Setning á markað og sölutrygging</w:t>
            </w:r>
          </w:p>
        </w:tc>
        <w:tc>
          <w:tcPr>
            <w:tcW w:w="989" w:type="dxa"/>
          </w:tcPr>
          <w:p w:rsidR="00753BAC" w:rsidRPr="00E802D0" w:rsidRDefault="00753BAC" w:rsidP="00FA026D">
            <w:pPr>
              <w:pStyle w:val="Tflutexti"/>
              <w:spacing w:after="0" w:line="240" w:lineRule="auto"/>
              <w:rPr>
                <w:rFonts w:ascii="Times New Roman" w:hAnsi="Times New Roman" w:cs="Times New Roman"/>
                <w:sz w:val="18"/>
                <w:szCs w:val="18"/>
              </w:rPr>
            </w:pP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173F0B"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5.4.1.</w:t>
            </w:r>
          </w:p>
        </w:tc>
        <w:tc>
          <w:tcPr>
            <w:tcW w:w="6386" w:type="dxa"/>
          </w:tcPr>
          <w:p w:rsidR="00753BAC" w:rsidRPr="00E802D0" w:rsidRDefault="00173F0B" w:rsidP="00173F0B">
            <w:pPr>
              <w:pStyle w:val="Tflutexti"/>
              <w:rPr>
                <w:rFonts w:ascii="Times New Roman" w:hAnsi="Times New Roman" w:cs="Times New Roman"/>
                <w:sz w:val="18"/>
                <w:szCs w:val="18"/>
              </w:rPr>
            </w:pPr>
            <w:r w:rsidRPr="00E802D0">
              <w:rPr>
                <w:rFonts w:ascii="Times New Roman" w:hAnsi="Times New Roman" w:cs="Times New Roman"/>
                <w:sz w:val="18"/>
                <w:szCs w:val="18"/>
              </w:rPr>
              <w:t>Nafn og heimilisfang þess eða þeirra sem hafa umsjón með heildarútboðinu eða einstaka hlutum þess og, að því marki sem útgefanda eða tilboðsgjafa er kunnugt um, þeirra sem setja verðbréfin á markað í þeim ýmsu löndum þar sem útboðið fer fram.</w:t>
            </w:r>
          </w:p>
        </w:tc>
        <w:tc>
          <w:tcPr>
            <w:tcW w:w="989" w:type="dxa"/>
          </w:tcPr>
          <w:p w:rsidR="00753BAC" w:rsidRPr="00E802D0" w:rsidRDefault="00173F0B"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173F0B"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5.4.2.</w:t>
            </w:r>
          </w:p>
        </w:tc>
        <w:tc>
          <w:tcPr>
            <w:tcW w:w="6386" w:type="dxa"/>
          </w:tcPr>
          <w:p w:rsidR="00753BAC" w:rsidRPr="00E802D0" w:rsidRDefault="00173F0B"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Nafn og heimilisfang þeirra aðila sem annast greiðslur og vörsluaðila í hverju landi fyrir sig.</w:t>
            </w:r>
          </w:p>
        </w:tc>
        <w:tc>
          <w:tcPr>
            <w:tcW w:w="989" w:type="dxa"/>
          </w:tcPr>
          <w:p w:rsidR="00753BAC" w:rsidRPr="00E802D0" w:rsidRDefault="00173F0B"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173F0B"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5.4.3.</w:t>
            </w:r>
          </w:p>
        </w:tc>
        <w:tc>
          <w:tcPr>
            <w:tcW w:w="6386" w:type="dxa"/>
          </w:tcPr>
          <w:p w:rsidR="00753BAC" w:rsidRPr="00E802D0" w:rsidRDefault="00173F0B" w:rsidP="00173F0B">
            <w:pPr>
              <w:pStyle w:val="Tflutexti"/>
              <w:rPr>
                <w:rFonts w:ascii="Times New Roman" w:hAnsi="Times New Roman" w:cs="Times New Roman"/>
                <w:sz w:val="18"/>
                <w:szCs w:val="18"/>
              </w:rPr>
            </w:pPr>
            <w:r w:rsidRPr="00E802D0">
              <w:rPr>
                <w:rFonts w:ascii="Times New Roman" w:hAnsi="Times New Roman" w:cs="Times New Roman"/>
                <w:sz w:val="18"/>
                <w:szCs w:val="18"/>
              </w:rPr>
              <w:t>Nöfn og heimilisföng aðila sem hafa samþykkt með bindandi samkomulagi að sölutryggja útgáfuna og nöfn og heimilisföng aðila sem hafa samþykkt að setja útgáfuna á markað án bindandi samkomulags eða eftir bestu getu. Upplýsingar um mikilvæga eiginleika samninganna, þ.m.t. hve stóran hluta hver hefur til sölu. Sé útgáfan ekki öll sölutryggð skal tilgreina þann hluta sem sölutrygging nær ekki til. Upplýsa skal um heildarþóknanir fyrir sölutryggingu og setningu á markað.</w:t>
            </w:r>
          </w:p>
        </w:tc>
        <w:tc>
          <w:tcPr>
            <w:tcW w:w="989" w:type="dxa"/>
          </w:tcPr>
          <w:p w:rsidR="00753BAC" w:rsidRPr="00E802D0" w:rsidRDefault="00173F0B" w:rsidP="00173F0B">
            <w:pPr>
              <w:pStyle w:val="Tflutexti"/>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934E11"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5.4.4.</w:t>
            </w:r>
          </w:p>
        </w:tc>
        <w:tc>
          <w:tcPr>
            <w:tcW w:w="6386" w:type="dxa"/>
          </w:tcPr>
          <w:p w:rsidR="00753BAC" w:rsidRPr="00E802D0" w:rsidRDefault="00934E11"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Upplýsingar um hvenær samningur um sölutryggingu var eða verður samþykktur.</w:t>
            </w:r>
          </w:p>
        </w:tc>
        <w:tc>
          <w:tcPr>
            <w:tcW w:w="989" w:type="dxa"/>
            <w:tcBorders>
              <w:bottom w:val="single" w:sz="4" w:space="0" w:color="auto"/>
            </w:tcBorders>
          </w:tcPr>
          <w:p w:rsidR="00753BAC" w:rsidRPr="00E802D0" w:rsidRDefault="00934E11"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934E11"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6. ÞÁTTUR</w:t>
            </w:r>
          </w:p>
        </w:tc>
        <w:tc>
          <w:tcPr>
            <w:tcW w:w="6386" w:type="dxa"/>
            <w:tcBorders>
              <w:right w:val="nil"/>
            </w:tcBorders>
          </w:tcPr>
          <w:p w:rsidR="00753BAC" w:rsidRPr="00E802D0" w:rsidRDefault="00934E11"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TAKA TIL VIÐSKIPTA OG FYRIRKOMULAG VIÐSKIPTA</w:t>
            </w:r>
          </w:p>
        </w:tc>
        <w:tc>
          <w:tcPr>
            <w:tcW w:w="989" w:type="dxa"/>
            <w:tcBorders>
              <w:left w:val="nil"/>
            </w:tcBorders>
          </w:tcPr>
          <w:p w:rsidR="00753BAC" w:rsidRPr="00E802D0" w:rsidRDefault="00753BAC" w:rsidP="00FA026D">
            <w:pPr>
              <w:pStyle w:val="Tflutexti"/>
              <w:spacing w:after="0" w:line="240" w:lineRule="auto"/>
              <w:rPr>
                <w:rFonts w:ascii="Times New Roman" w:hAnsi="Times New Roman" w:cs="Times New Roman"/>
                <w:sz w:val="18"/>
                <w:szCs w:val="18"/>
              </w:rPr>
            </w:pP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934E11"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6.1.</w:t>
            </w:r>
          </w:p>
        </w:tc>
        <w:tc>
          <w:tcPr>
            <w:tcW w:w="6386" w:type="dxa"/>
          </w:tcPr>
          <w:p w:rsidR="00753BAC" w:rsidRPr="00E802D0" w:rsidRDefault="00934E11" w:rsidP="00934E11">
            <w:pPr>
              <w:pStyle w:val="Tflutexti"/>
              <w:numPr>
                <w:ilvl w:val="0"/>
                <w:numId w:val="13"/>
              </w:numPr>
              <w:spacing w:after="0" w:line="240" w:lineRule="auto"/>
              <w:ind w:left="300" w:hanging="215"/>
              <w:rPr>
                <w:rFonts w:ascii="Times New Roman" w:hAnsi="Times New Roman" w:cs="Times New Roman"/>
                <w:sz w:val="18"/>
                <w:szCs w:val="18"/>
              </w:rPr>
            </w:pPr>
            <w:r w:rsidRPr="00E802D0">
              <w:rPr>
                <w:rFonts w:ascii="Times New Roman" w:hAnsi="Times New Roman" w:cs="Times New Roman"/>
                <w:sz w:val="18"/>
                <w:szCs w:val="18"/>
              </w:rPr>
              <w:t>Upplýsingar um hvort sótt hafi verið eða sótt verði um töku verðbréfanna, sem boðin eru, til viðskipta, með dreifingu þeirra í huga, á skipulegum markaði, öðrum mörkuðum þriðju landa, vaxtarmarkaði lítilla og meðalstórra fyrirtækja eða markaðstorgi fjármálagerninga ásamt upplýsingum um viðkomandi markaði. Nefna skal þessar aðstæður án þess að gefa í skyn að endilega verði samþykkt að taka þau til viðskipta.</w:t>
            </w:r>
          </w:p>
          <w:p w:rsidR="00934E11" w:rsidRPr="00E802D0" w:rsidRDefault="00934E11" w:rsidP="00934E11">
            <w:pPr>
              <w:pStyle w:val="Tflutexti"/>
              <w:numPr>
                <w:ilvl w:val="0"/>
                <w:numId w:val="13"/>
              </w:numPr>
              <w:spacing w:before="0" w:line="240" w:lineRule="auto"/>
              <w:ind w:left="300" w:hanging="215"/>
              <w:rPr>
                <w:rFonts w:ascii="Times New Roman" w:hAnsi="Times New Roman" w:cs="Times New Roman"/>
                <w:sz w:val="18"/>
                <w:szCs w:val="18"/>
              </w:rPr>
            </w:pPr>
            <w:r w:rsidRPr="00E802D0">
              <w:rPr>
                <w:rFonts w:ascii="Times New Roman" w:hAnsi="Times New Roman" w:cs="Times New Roman"/>
                <w:sz w:val="18"/>
                <w:szCs w:val="18"/>
              </w:rPr>
              <w:t>Tilgreina skal þá daga sem verðbréfin verða fyrst tekin til viðskipta, sé vitað um þá.</w:t>
            </w:r>
          </w:p>
        </w:tc>
        <w:tc>
          <w:tcPr>
            <w:tcW w:w="989" w:type="dxa"/>
          </w:tcPr>
          <w:p w:rsidR="00753BAC" w:rsidRPr="00E802D0" w:rsidRDefault="00934E11" w:rsidP="00934E11">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B</w:t>
            </w:r>
          </w:p>
          <w:p w:rsidR="00934E11" w:rsidRPr="00E802D0" w:rsidRDefault="00934E11" w:rsidP="00934E11">
            <w:pPr>
              <w:pStyle w:val="Tflutexti"/>
              <w:spacing w:before="0" w:after="0" w:line="240" w:lineRule="auto"/>
              <w:rPr>
                <w:rFonts w:ascii="Times New Roman" w:hAnsi="Times New Roman" w:cs="Times New Roman"/>
                <w:sz w:val="18"/>
                <w:szCs w:val="18"/>
              </w:rPr>
            </w:pPr>
          </w:p>
          <w:p w:rsidR="00934E11" w:rsidRPr="00E802D0" w:rsidRDefault="00934E11" w:rsidP="00934E11">
            <w:pPr>
              <w:pStyle w:val="Tflutexti"/>
              <w:spacing w:before="0" w:after="0" w:line="240" w:lineRule="auto"/>
              <w:rPr>
                <w:rFonts w:ascii="Times New Roman" w:hAnsi="Times New Roman" w:cs="Times New Roman"/>
                <w:sz w:val="18"/>
                <w:szCs w:val="18"/>
              </w:rPr>
            </w:pPr>
          </w:p>
          <w:p w:rsidR="00934E11" w:rsidRPr="00E802D0" w:rsidRDefault="00934E11" w:rsidP="00934E11">
            <w:pPr>
              <w:pStyle w:val="Tflutexti"/>
              <w:spacing w:before="0" w:after="0" w:line="240" w:lineRule="auto"/>
              <w:rPr>
                <w:rFonts w:ascii="Times New Roman" w:hAnsi="Times New Roman" w:cs="Times New Roman"/>
                <w:sz w:val="18"/>
                <w:szCs w:val="18"/>
              </w:rPr>
            </w:pPr>
          </w:p>
          <w:p w:rsidR="00934E11" w:rsidRPr="00E802D0" w:rsidRDefault="00934E11" w:rsidP="00934E11">
            <w:pPr>
              <w:pStyle w:val="Tflutexti"/>
              <w:spacing w:before="0" w:after="0" w:line="240" w:lineRule="auto"/>
              <w:rPr>
                <w:rFonts w:ascii="Times New Roman" w:hAnsi="Times New Roman" w:cs="Times New Roman"/>
                <w:sz w:val="18"/>
                <w:szCs w:val="18"/>
              </w:rPr>
            </w:pPr>
          </w:p>
          <w:p w:rsidR="00934E11" w:rsidRPr="00E802D0" w:rsidRDefault="00934E11" w:rsidP="00934E11">
            <w:pPr>
              <w:pStyle w:val="Tflutexti"/>
              <w:spacing w:before="0"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F54F76"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6.2.</w:t>
            </w:r>
          </w:p>
        </w:tc>
        <w:tc>
          <w:tcPr>
            <w:tcW w:w="6386" w:type="dxa"/>
          </w:tcPr>
          <w:p w:rsidR="00753BAC" w:rsidRPr="00E802D0" w:rsidRDefault="00F54F76" w:rsidP="00F54F76">
            <w:pPr>
              <w:pStyle w:val="Tflutexti"/>
              <w:rPr>
                <w:rFonts w:ascii="Times New Roman" w:hAnsi="Times New Roman" w:cs="Times New Roman"/>
                <w:sz w:val="18"/>
                <w:szCs w:val="18"/>
              </w:rPr>
            </w:pPr>
            <w:r w:rsidRPr="00E802D0">
              <w:rPr>
                <w:rFonts w:ascii="Times New Roman" w:hAnsi="Times New Roman" w:cs="Times New Roman"/>
                <w:sz w:val="18"/>
                <w:szCs w:val="18"/>
              </w:rPr>
              <w:t>Tilgreina skal alla skipulega markaði eða markaði þriðju landa, vaxtarmarkaði lítilla og meðalstórra fyrirtækja eða markaðstorg fjármálagerninga sem útgefandi hefur vitneskju um að verðbréf í sama flokki og þau verðbréf sem bjóða á í almennu útboði eða taka til viðskipta, hafi þegar verið tekin til viðskipta á.</w:t>
            </w:r>
          </w:p>
        </w:tc>
        <w:tc>
          <w:tcPr>
            <w:tcW w:w="989" w:type="dxa"/>
          </w:tcPr>
          <w:p w:rsidR="00753BAC" w:rsidRPr="00E802D0" w:rsidRDefault="00F54F76" w:rsidP="00F54F76">
            <w:pPr>
              <w:pStyle w:val="Tflutexti"/>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F54F76"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6.3.</w:t>
            </w:r>
          </w:p>
        </w:tc>
        <w:tc>
          <w:tcPr>
            <w:tcW w:w="6386" w:type="dxa"/>
          </w:tcPr>
          <w:p w:rsidR="00753BAC" w:rsidRPr="00E802D0" w:rsidRDefault="00F54F76" w:rsidP="00F54F76">
            <w:pPr>
              <w:pStyle w:val="Tflutexti"/>
              <w:rPr>
                <w:rFonts w:ascii="Times New Roman" w:hAnsi="Times New Roman" w:cs="Times New Roman"/>
                <w:sz w:val="18"/>
                <w:szCs w:val="18"/>
              </w:rPr>
            </w:pPr>
            <w:r w:rsidRPr="00E802D0">
              <w:rPr>
                <w:rFonts w:ascii="Times New Roman" w:hAnsi="Times New Roman" w:cs="Times New Roman"/>
                <w:sz w:val="18"/>
                <w:szCs w:val="18"/>
              </w:rPr>
              <w:t>Sé um að ræða töku til viðskipta á skipulegum markaði, nöfn og heimilisföng þeirra aðila sem hafa gert bindandi samkomulag um að starfa sem milliliðir í eftirmarkaðsviðskiptum og veita seljanleika með kaup- og sölutilboðum, ásamt lýsingu á helstu skilmálum samkomulagsins.</w:t>
            </w:r>
          </w:p>
        </w:tc>
        <w:tc>
          <w:tcPr>
            <w:tcW w:w="989" w:type="dxa"/>
          </w:tcPr>
          <w:p w:rsidR="00753BAC" w:rsidRPr="00E802D0" w:rsidRDefault="00F54F76" w:rsidP="00F54F76">
            <w:pPr>
              <w:pStyle w:val="Tflutexti"/>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F54F76"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6.4.</w:t>
            </w:r>
          </w:p>
        </w:tc>
        <w:tc>
          <w:tcPr>
            <w:tcW w:w="6386" w:type="dxa"/>
          </w:tcPr>
          <w:p w:rsidR="00753BAC" w:rsidRPr="00E802D0" w:rsidRDefault="00F54F76"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Útgáfuverð verðbréfanna.</w:t>
            </w:r>
          </w:p>
        </w:tc>
        <w:tc>
          <w:tcPr>
            <w:tcW w:w="989" w:type="dxa"/>
            <w:tcBorders>
              <w:bottom w:val="single" w:sz="4" w:space="0" w:color="auto"/>
            </w:tcBorders>
          </w:tcPr>
          <w:p w:rsidR="00753BAC" w:rsidRPr="00E802D0" w:rsidRDefault="00F54F76"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F54F76"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7. ÞÁTTUR</w:t>
            </w:r>
          </w:p>
        </w:tc>
        <w:tc>
          <w:tcPr>
            <w:tcW w:w="6386" w:type="dxa"/>
            <w:tcBorders>
              <w:right w:val="nil"/>
            </w:tcBorders>
          </w:tcPr>
          <w:p w:rsidR="00753BAC" w:rsidRPr="00E802D0" w:rsidRDefault="00F54F76" w:rsidP="00453322">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VIÐBÓTARUPPLÝSINGAR</w:t>
            </w:r>
          </w:p>
        </w:tc>
        <w:tc>
          <w:tcPr>
            <w:tcW w:w="989" w:type="dxa"/>
            <w:tcBorders>
              <w:left w:val="nil"/>
            </w:tcBorders>
          </w:tcPr>
          <w:p w:rsidR="00753BAC" w:rsidRPr="00E802D0" w:rsidRDefault="00753BAC" w:rsidP="00FA026D">
            <w:pPr>
              <w:pStyle w:val="Tflutexti"/>
              <w:spacing w:after="0" w:line="240" w:lineRule="auto"/>
              <w:rPr>
                <w:rFonts w:ascii="Times New Roman" w:hAnsi="Times New Roman" w:cs="Times New Roman"/>
                <w:sz w:val="18"/>
                <w:szCs w:val="18"/>
              </w:rPr>
            </w:pP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F54F76"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7.1.</w:t>
            </w:r>
          </w:p>
        </w:tc>
        <w:tc>
          <w:tcPr>
            <w:tcW w:w="6386" w:type="dxa"/>
          </w:tcPr>
          <w:p w:rsidR="00753BAC" w:rsidRPr="00E802D0" w:rsidRDefault="00F54F76" w:rsidP="00F54F76">
            <w:pPr>
              <w:pStyle w:val="Tflutexti"/>
              <w:rPr>
                <w:rFonts w:ascii="Times New Roman" w:hAnsi="Times New Roman" w:cs="Times New Roman"/>
                <w:sz w:val="18"/>
                <w:szCs w:val="18"/>
              </w:rPr>
            </w:pPr>
            <w:r w:rsidRPr="00E802D0">
              <w:rPr>
                <w:rFonts w:ascii="Times New Roman" w:hAnsi="Times New Roman" w:cs="Times New Roman"/>
                <w:sz w:val="18"/>
                <w:szCs w:val="18"/>
              </w:rPr>
              <w:t>Sé ráðgjafa í tengslum við útgáfu getið í verðbréfalýsingunni skal tilgreina hvert hlutverk þeirra hefur verið.</w:t>
            </w:r>
          </w:p>
        </w:tc>
        <w:tc>
          <w:tcPr>
            <w:tcW w:w="989" w:type="dxa"/>
          </w:tcPr>
          <w:p w:rsidR="00753BAC" w:rsidRPr="00E802D0" w:rsidRDefault="00F54F76"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F54F76"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7.2.</w:t>
            </w:r>
          </w:p>
        </w:tc>
        <w:tc>
          <w:tcPr>
            <w:tcW w:w="6386" w:type="dxa"/>
          </w:tcPr>
          <w:p w:rsidR="00753BAC" w:rsidRPr="00E802D0" w:rsidRDefault="00F54F76" w:rsidP="00F54F76">
            <w:pPr>
              <w:pStyle w:val="Tflutexti"/>
              <w:rPr>
                <w:rFonts w:ascii="Times New Roman" w:hAnsi="Times New Roman" w:cs="Times New Roman"/>
                <w:sz w:val="18"/>
                <w:szCs w:val="18"/>
              </w:rPr>
            </w:pPr>
            <w:r w:rsidRPr="00E802D0">
              <w:rPr>
                <w:rFonts w:ascii="Times New Roman" w:hAnsi="Times New Roman" w:cs="Times New Roman"/>
                <w:sz w:val="18"/>
                <w:szCs w:val="18"/>
              </w:rPr>
              <w:t>Aðrar upplýsingar í verðbréfalýsingunni sem löggiltir endurskoðendur hafa endurskoðað eða kannað og ef endurskoðendur hafa lagt fram skýrslu. Endursögn skýrslunnar eða, með samþykki lögbærs yfirvalds, samantekt á henni.</w:t>
            </w:r>
          </w:p>
        </w:tc>
        <w:tc>
          <w:tcPr>
            <w:tcW w:w="989" w:type="dxa"/>
          </w:tcPr>
          <w:p w:rsidR="00753BAC" w:rsidRPr="00E802D0" w:rsidRDefault="00F54F76"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A</w:t>
            </w:r>
          </w:p>
        </w:tc>
      </w:tr>
      <w:tr w:rsidR="00753BAC" w:rsidRPr="00E802D0" w:rsidTr="00E802D0">
        <w:trPr>
          <w:trHeight w:val="567"/>
        </w:trPr>
        <w:tc>
          <w:tcPr>
            <w:tcW w:w="848" w:type="dxa"/>
          </w:tcPr>
          <w:p w:rsidR="00753BAC" w:rsidRPr="00E802D0" w:rsidRDefault="00753BAC" w:rsidP="002D383E">
            <w:pPr>
              <w:pStyle w:val="Tflutexti"/>
              <w:spacing w:line="240" w:lineRule="auto"/>
              <w:rPr>
                <w:rFonts w:ascii="Times New Roman" w:hAnsi="Times New Roman" w:cs="Times New Roman"/>
                <w:sz w:val="18"/>
                <w:szCs w:val="18"/>
              </w:rPr>
            </w:pPr>
          </w:p>
        </w:tc>
        <w:tc>
          <w:tcPr>
            <w:tcW w:w="1137" w:type="dxa"/>
          </w:tcPr>
          <w:p w:rsidR="00753BAC" w:rsidRPr="00E802D0" w:rsidRDefault="00F54F76" w:rsidP="002D383E">
            <w:pPr>
              <w:pStyle w:val="Tflutexti"/>
              <w:spacing w:line="240" w:lineRule="auto"/>
              <w:rPr>
                <w:rFonts w:ascii="Times New Roman" w:hAnsi="Times New Roman" w:cs="Times New Roman"/>
                <w:sz w:val="18"/>
                <w:szCs w:val="18"/>
              </w:rPr>
            </w:pPr>
            <w:r w:rsidRPr="00E802D0">
              <w:rPr>
                <w:rFonts w:ascii="Times New Roman" w:hAnsi="Times New Roman" w:cs="Times New Roman"/>
                <w:sz w:val="18"/>
                <w:szCs w:val="18"/>
              </w:rPr>
              <w:t>Liður 7.3.</w:t>
            </w:r>
          </w:p>
        </w:tc>
        <w:tc>
          <w:tcPr>
            <w:tcW w:w="6386" w:type="dxa"/>
          </w:tcPr>
          <w:p w:rsidR="00753BAC" w:rsidRPr="00E802D0" w:rsidRDefault="00F54F76" w:rsidP="00F54F76">
            <w:pPr>
              <w:pStyle w:val="Tflutexti"/>
              <w:rPr>
                <w:rFonts w:ascii="Times New Roman" w:hAnsi="Times New Roman" w:cs="Times New Roman"/>
                <w:sz w:val="18"/>
                <w:szCs w:val="18"/>
              </w:rPr>
            </w:pPr>
            <w:r w:rsidRPr="00E802D0">
              <w:rPr>
                <w:rFonts w:ascii="Times New Roman" w:hAnsi="Times New Roman" w:cs="Times New Roman"/>
                <w:sz w:val="18"/>
                <w:szCs w:val="18"/>
              </w:rPr>
              <w:t>Lánshæfiseinkunnir sem gefnar eru verðbréfunum að beiðni útgefanda eða með samstarfi hans í matsferlinu. Stutt skýring á merkingu lánshæfiseinkunnanna ef matsfyrirtækið hefur áður birt hana.</w:t>
            </w:r>
          </w:p>
        </w:tc>
        <w:tc>
          <w:tcPr>
            <w:tcW w:w="989" w:type="dxa"/>
          </w:tcPr>
          <w:p w:rsidR="00753BAC" w:rsidRPr="00E802D0" w:rsidRDefault="00F54F76" w:rsidP="00FA026D">
            <w:pPr>
              <w:pStyle w:val="Tflutexti"/>
              <w:spacing w:after="0" w:line="240" w:lineRule="auto"/>
              <w:rPr>
                <w:rFonts w:ascii="Times New Roman" w:hAnsi="Times New Roman" w:cs="Times New Roman"/>
                <w:sz w:val="18"/>
                <w:szCs w:val="18"/>
              </w:rPr>
            </w:pPr>
            <w:r w:rsidRPr="00E802D0">
              <w:rPr>
                <w:rFonts w:ascii="Times New Roman" w:hAnsi="Times New Roman" w:cs="Times New Roman"/>
                <w:sz w:val="18"/>
                <w:szCs w:val="18"/>
              </w:rPr>
              <w:t>Flokkur C</w:t>
            </w:r>
          </w:p>
        </w:tc>
      </w:tr>
    </w:tbl>
    <w:p w:rsidR="007F6312" w:rsidRPr="00E802D0" w:rsidRDefault="007F6312" w:rsidP="007F6312">
      <w:pPr>
        <w:pStyle w:val="Meginml"/>
        <w:rPr>
          <w:rFonts w:ascii="Times New Roman" w:hAnsi="Times New Roman" w:cs="Times New Roman"/>
          <w:sz w:val="18"/>
          <w:szCs w:val="18"/>
          <w:lang w:val="is-IS"/>
        </w:rPr>
      </w:pPr>
    </w:p>
    <w:p w:rsidR="009B6F21" w:rsidRPr="00E802D0" w:rsidRDefault="009B6F21" w:rsidP="007F6312">
      <w:pPr>
        <w:pStyle w:val="Meginml"/>
        <w:rPr>
          <w:rFonts w:ascii="Times New Roman" w:hAnsi="Times New Roman" w:cs="Times New Roman"/>
          <w:sz w:val="18"/>
          <w:szCs w:val="18"/>
          <w:lang w:val="is-IS"/>
        </w:rPr>
      </w:pPr>
      <w:bookmarkStart w:id="0" w:name="_GoBack"/>
      <w:bookmarkEnd w:id="0"/>
    </w:p>
    <w:sectPr w:rsidR="009B6F21" w:rsidRPr="00E802D0"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0F" w:rsidRDefault="004B390F" w:rsidP="004C2AD6">
      <w:r>
        <w:separator/>
      </w:r>
    </w:p>
  </w:endnote>
  <w:endnote w:type="continuationSeparator" w:id="0">
    <w:p w:rsidR="004B390F" w:rsidRDefault="004B390F"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E802D0" w:rsidRPr="00E802D0">
          <w:rPr>
            <w:rFonts w:ascii="Syntax LT Std" w:hAnsi="Syntax LT Std"/>
            <w:b/>
            <w:noProof/>
            <w:sz w:val="18"/>
            <w:szCs w:val="18"/>
          </w:rPr>
          <w:t>5</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E802D0" w:rsidRPr="00E802D0">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0F" w:rsidRDefault="004B390F" w:rsidP="004C2AD6">
      <w:r>
        <w:separator/>
      </w:r>
    </w:p>
  </w:footnote>
  <w:footnote w:type="continuationSeparator" w:id="0">
    <w:p w:rsidR="004B390F" w:rsidRDefault="004B390F"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36" w:rsidRDefault="007B0B36">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5"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6"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7"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4"/>
  </w:num>
  <w:num w:numId="6">
    <w:abstractNumId w:val="2"/>
  </w:num>
  <w:num w:numId="7">
    <w:abstractNumId w:val="8"/>
  </w:num>
  <w:num w:numId="8">
    <w:abstractNumId w:val="9"/>
  </w:num>
  <w:num w:numId="9">
    <w:abstractNumId w:val="6"/>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472F2"/>
    <w:rsid w:val="00071910"/>
    <w:rsid w:val="0008056E"/>
    <w:rsid w:val="000969A7"/>
    <w:rsid w:val="000C4A85"/>
    <w:rsid w:val="000E3F84"/>
    <w:rsid w:val="00110951"/>
    <w:rsid w:val="00112D07"/>
    <w:rsid w:val="00115C50"/>
    <w:rsid w:val="00145496"/>
    <w:rsid w:val="0015527B"/>
    <w:rsid w:val="00166A8A"/>
    <w:rsid w:val="00173F0B"/>
    <w:rsid w:val="001900B4"/>
    <w:rsid w:val="001A4B41"/>
    <w:rsid w:val="001C014B"/>
    <w:rsid w:val="001E5E3E"/>
    <w:rsid w:val="0023476A"/>
    <w:rsid w:val="0027081A"/>
    <w:rsid w:val="00270D4A"/>
    <w:rsid w:val="002776DC"/>
    <w:rsid w:val="002834C2"/>
    <w:rsid w:val="002C14F6"/>
    <w:rsid w:val="002C1F03"/>
    <w:rsid w:val="002C4DEE"/>
    <w:rsid w:val="002D383E"/>
    <w:rsid w:val="002D5752"/>
    <w:rsid w:val="002E73A5"/>
    <w:rsid w:val="0034708D"/>
    <w:rsid w:val="003530CE"/>
    <w:rsid w:val="0037551E"/>
    <w:rsid w:val="0038196C"/>
    <w:rsid w:val="003A6ACB"/>
    <w:rsid w:val="003B26F8"/>
    <w:rsid w:val="003B7EF8"/>
    <w:rsid w:val="00400584"/>
    <w:rsid w:val="00453322"/>
    <w:rsid w:val="00472427"/>
    <w:rsid w:val="004B390F"/>
    <w:rsid w:val="004C2AD6"/>
    <w:rsid w:val="004C4DCB"/>
    <w:rsid w:val="004F7A17"/>
    <w:rsid w:val="00553173"/>
    <w:rsid w:val="005A29F9"/>
    <w:rsid w:val="005F58FF"/>
    <w:rsid w:val="00606C30"/>
    <w:rsid w:val="00616F56"/>
    <w:rsid w:val="00620C4C"/>
    <w:rsid w:val="00625694"/>
    <w:rsid w:val="00646C80"/>
    <w:rsid w:val="006743E4"/>
    <w:rsid w:val="006A09C0"/>
    <w:rsid w:val="006C5373"/>
    <w:rsid w:val="006C70F2"/>
    <w:rsid w:val="006D7F78"/>
    <w:rsid w:val="00706462"/>
    <w:rsid w:val="00737D2D"/>
    <w:rsid w:val="00753BAC"/>
    <w:rsid w:val="00760BE8"/>
    <w:rsid w:val="007B0B36"/>
    <w:rsid w:val="007B4FD3"/>
    <w:rsid w:val="007B5B30"/>
    <w:rsid w:val="007E461F"/>
    <w:rsid w:val="007F6312"/>
    <w:rsid w:val="008102DF"/>
    <w:rsid w:val="00843318"/>
    <w:rsid w:val="00852758"/>
    <w:rsid w:val="00884E14"/>
    <w:rsid w:val="008D2569"/>
    <w:rsid w:val="00911C1E"/>
    <w:rsid w:val="00934E11"/>
    <w:rsid w:val="0096481A"/>
    <w:rsid w:val="009B6F21"/>
    <w:rsid w:val="009C2663"/>
    <w:rsid w:val="009D0B31"/>
    <w:rsid w:val="009D541A"/>
    <w:rsid w:val="00A6629E"/>
    <w:rsid w:val="00B271B8"/>
    <w:rsid w:val="00B724CE"/>
    <w:rsid w:val="00B75D56"/>
    <w:rsid w:val="00B851E6"/>
    <w:rsid w:val="00BC4587"/>
    <w:rsid w:val="00BF72D5"/>
    <w:rsid w:val="00C50053"/>
    <w:rsid w:val="00C5268A"/>
    <w:rsid w:val="00C7686E"/>
    <w:rsid w:val="00CB34D8"/>
    <w:rsid w:val="00CD20EA"/>
    <w:rsid w:val="00CF771D"/>
    <w:rsid w:val="00D16F4E"/>
    <w:rsid w:val="00D70593"/>
    <w:rsid w:val="00D94D99"/>
    <w:rsid w:val="00DB324A"/>
    <w:rsid w:val="00DE116E"/>
    <w:rsid w:val="00DF0B2D"/>
    <w:rsid w:val="00E272DD"/>
    <w:rsid w:val="00E62101"/>
    <w:rsid w:val="00E802D0"/>
    <w:rsid w:val="00E8597A"/>
    <w:rsid w:val="00E90779"/>
    <w:rsid w:val="00EB1F15"/>
    <w:rsid w:val="00EB2C0B"/>
    <w:rsid w:val="00EF0CBF"/>
    <w:rsid w:val="00EF7920"/>
    <w:rsid w:val="00F256B2"/>
    <w:rsid w:val="00F54F76"/>
    <w:rsid w:val="00F72C3C"/>
    <w:rsid w:val="00F75224"/>
    <w:rsid w:val="00FA026D"/>
    <w:rsid w:val="00FC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3B7EF8"/>
    <w:pPr>
      <w:spacing w:line="200" w:lineRule="exact"/>
    </w:pPr>
    <w:rPr>
      <w:b w:val="0"/>
      <w:sz w:val="16"/>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94DB3B-F115-48AC-A592-D9C8B571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89</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25</cp:revision>
  <cp:lastPrinted>2020-02-10T13:55:00Z</cp:lastPrinted>
  <dcterms:created xsi:type="dcterms:W3CDTF">2020-01-21T10:14:00Z</dcterms:created>
  <dcterms:modified xsi:type="dcterms:W3CDTF">2020-05-05T09:11:00Z</dcterms:modified>
</cp:coreProperties>
</file>