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D7" w:rsidRPr="004174DE" w:rsidRDefault="00BC4E8B" w:rsidP="009421DB">
      <w:pPr>
        <w:ind w:left="-180"/>
        <w:rPr>
          <w:b/>
          <w:sz w:val="22"/>
          <w:szCs w:val="22"/>
          <w:lang w:val="is-IS" w:eastAsia="en-US"/>
        </w:rPr>
      </w:pPr>
      <w:r w:rsidRPr="004174DE">
        <w:rPr>
          <w:b/>
          <w:sz w:val="22"/>
          <w:szCs w:val="22"/>
          <w:lang w:val="is-IS"/>
        </w:rPr>
        <w:t>X</w:t>
      </w:r>
      <w:r w:rsidR="009421DB" w:rsidRPr="004174DE">
        <w:rPr>
          <w:b/>
          <w:sz w:val="22"/>
          <w:szCs w:val="22"/>
          <w:lang w:val="is-IS"/>
        </w:rPr>
        <w:t>V</w:t>
      </w:r>
      <w:r w:rsidRPr="004174DE">
        <w:rPr>
          <w:b/>
          <w:sz w:val="22"/>
          <w:szCs w:val="22"/>
          <w:lang w:val="is-IS"/>
        </w:rPr>
        <w:t>I</w:t>
      </w:r>
      <w:r w:rsidR="00D33DD7" w:rsidRPr="004174DE">
        <w:rPr>
          <w:b/>
          <w:sz w:val="22"/>
          <w:szCs w:val="22"/>
          <w:lang w:val="is-IS"/>
        </w:rPr>
        <w:t>. VIÐAUKI – REGLUGERÐ FRAMKVÆMDASTJÓRNARINNAR (EB) nr. 809/2004 frá 29. apríl 2004</w:t>
      </w:r>
    </w:p>
    <w:p w:rsidR="00D33DD7" w:rsidRPr="004174DE" w:rsidRDefault="00D33DD7" w:rsidP="009421DB">
      <w:pPr>
        <w:ind w:left="-180"/>
        <w:rPr>
          <w:b/>
          <w:color w:val="000000"/>
          <w:sz w:val="22"/>
          <w:szCs w:val="22"/>
          <w:lang w:val="is-IS" w:eastAsia="is-IS"/>
        </w:rPr>
      </w:pPr>
    </w:p>
    <w:p w:rsidR="00D33DD7" w:rsidRPr="004174DE" w:rsidRDefault="00D33DD7" w:rsidP="009421DB">
      <w:pPr>
        <w:ind w:left="-180"/>
        <w:rPr>
          <w:b/>
          <w:color w:val="000000"/>
          <w:sz w:val="22"/>
          <w:szCs w:val="22"/>
          <w:lang w:val="is-IS" w:eastAsia="is-IS"/>
        </w:rPr>
      </w:pPr>
      <w:r w:rsidRPr="004174DE">
        <w:rPr>
          <w:b/>
          <w:color w:val="000000"/>
          <w:sz w:val="22"/>
          <w:szCs w:val="22"/>
          <w:lang w:val="is-IS" w:eastAsia="is-IS"/>
        </w:rPr>
        <w:t xml:space="preserve">Sbr. tilgreint í 2. mgr. </w:t>
      </w:r>
      <w:proofErr w:type="spellStart"/>
      <w:r w:rsidRPr="004174DE">
        <w:rPr>
          <w:b/>
          <w:color w:val="000000"/>
          <w:sz w:val="22"/>
          <w:szCs w:val="22"/>
          <w:lang w:val="is-IS" w:eastAsia="is-IS"/>
        </w:rPr>
        <w:t>regl</w:t>
      </w:r>
      <w:proofErr w:type="spellEnd"/>
      <w:r w:rsidRPr="004174DE">
        <w:rPr>
          <w:b/>
          <w:color w:val="000000"/>
          <w:sz w:val="22"/>
          <w:szCs w:val="22"/>
          <w:lang w:val="is-IS" w:eastAsia="is-IS"/>
        </w:rPr>
        <w:t>. nr. 243/2006:</w:t>
      </w:r>
    </w:p>
    <w:p w:rsidR="00D33DD7" w:rsidRPr="004174DE" w:rsidRDefault="00D33DD7" w:rsidP="009421DB">
      <w:pPr>
        <w:ind w:left="-180"/>
        <w:rPr>
          <w:b/>
          <w:i/>
          <w:color w:val="000000"/>
          <w:sz w:val="22"/>
          <w:szCs w:val="22"/>
          <w:lang w:val="is-IS" w:eastAsia="is-IS"/>
        </w:rPr>
      </w:pPr>
      <w:r w:rsidRPr="004174DE">
        <w:rPr>
          <w:b/>
          <w:i/>
          <w:color w:val="000000"/>
          <w:sz w:val="22"/>
          <w:szCs w:val="22"/>
          <w:lang w:val="is-IS" w:eastAsia="is-IS"/>
        </w:rPr>
        <w:t>Ef ósamræmi er á milli íslensks og ensks texta reglugerðar framkvæmdastjórnarinnar nr. 809/2004 skal skýra íslenska textann með hliðsjón af enska textanum.</w:t>
      </w:r>
    </w:p>
    <w:p w:rsidR="00D33DD7" w:rsidRPr="004174DE" w:rsidRDefault="00A76ECF" w:rsidP="00A76ECF">
      <w:pPr>
        <w:tabs>
          <w:tab w:val="left" w:pos="3207"/>
        </w:tabs>
        <w:ind w:left="-180"/>
        <w:rPr>
          <w:b/>
          <w:color w:val="000000"/>
          <w:sz w:val="22"/>
          <w:szCs w:val="22"/>
          <w:lang w:val="is-IS" w:eastAsia="is-IS"/>
        </w:rPr>
      </w:pPr>
      <w:r w:rsidRPr="004174DE">
        <w:rPr>
          <w:b/>
          <w:color w:val="000000"/>
          <w:sz w:val="22"/>
          <w:szCs w:val="22"/>
          <w:lang w:val="is-IS" w:eastAsia="is-IS"/>
        </w:rPr>
        <w:tab/>
      </w:r>
    </w:p>
    <w:p w:rsidR="00D33DD7" w:rsidRPr="004174DE" w:rsidRDefault="00D33DD7" w:rsidP="009421DB">
      <w:pPr>
        <w:ind w:left="-180"/>
        <w:rPr>
          <w:b/>
          <w:sz w:val="22"/>
          <w:szCs w:val="22"/>
          <w:lang w:val="is-IS"/>
        </w:rPr>
      </w:pPr>
      <w:r w:rsidRPr="004174DE">
        <w:rPr>
          <w:b/>
          <w:sz w:val="22"/>
          <w:szCs w:val="22"/>
          <w:lang w:val="is-IS"/>
        </w:rPr>
        <w:t>Ef ósamræmi er á milli textans í þessu skjali og texta reglugerðar framkvæmdastjórnarinnar nr. 809/2004 er það texti reglugerðarinnar sem gildir.</w:t>
      </w:r>
    </w:p>
    <w:p w:rsidR="00D33DD7" w:rsidRPr="004174DE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D33DD7" w:rsidRPr="004174DE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D33DD7" w:rsidRPr="004174DE" w:rsidRDefault="00D33DD7" w:rsidP="00D33D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BC4E8B" w:rsidRPr="004174DE" w:rsidRDefault="00BC4E8B" w:rsidP="00BC4E8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4174DE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XVI. VIÐAUKI</w:t>
      </w:r>
    </w:p>
    <w:p w:rsidR="00BC4E8B" w:rsidRPr="004174DE" w:rsidRDefault="00BC4E8B" w:rsidP="00BC4E8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BC4E8B" w:rsidRPr="004174DE" w:rsidRDefault="00BC4E8B" w:rsidP="00BC4E8B">
      <w:pPr>
        <w:autoSpaceDE w:val="0"/>
        <w:autoSpaceDN w:val="0"/>
        <w:adjustRightInd w:val="0"/>
        <w:ind w:firstLine="72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4174DE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Lágmarkskröfur um upplýsingar sem koma eiga fram í útgefandalýsingu sem aðildarríki, þriðju lönd og svæðis- og staðaryfirvöld gefa út (grunnskjal)</w:t>
      </w:r>
    </w:p>
    <w:p w:rsidR="00D33DD7" w:rsidRDefault="00D33DD7">
      <w:pPr>
        <w:rPr>
          <w:lang w:val="is-IS"/>
        </w:rPr>
      </w:pPr>
    </w:p>
    <w:p w:rsidR="00BC4E8B" w:rsidRDefault="00BC4E8B">
      <w:pPr>
        <w:rPr>
          <w:lang w:val="is-IS"/>
        </w:rPr>
      </w:pPr>
    </w:p>
    <w:tbl>
      <w:tblPr>
        <w:tblStyle w:val="TableGrid"/>
        <w:tblW w:w="9540" w:type="dxa"/>
        <w:tblInd w:w="-7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6"/>
        <w:gridCol w:w="754"/>
        <w:gridCol w:w="7380"/>
      </w:tblGrid>
      <w:tr w:rsidR="0076196D" w:rsidRPr="004174DE" w:rsidTr="004174DE">
        <w:trPr>
          <w:trHeight w:val="299"/>
        </w:trPr>
        <w:tc>
          <w:tcPr>
            <w:tcW w:w="1406" w:type="dxa"/>
          </w:tcPr>
          <w:p w:rsidR="0076196D" w:rsidRPr="004174DE" w:rsidRDefault="0076196D" w:rsidP="004174DE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r w:rsidRPr="004174DE">
              <w:rPr>
                <w:b/>
                <w:color w:val="FF0000"/>
                <w:sz w:val="22"/>
                <w:szCs w:val="22"/>
                <w:lang w:val="is-IS"/>
              </w:rPr>
              <w:t>Bls</w:t>
            </w:r>
            <w:r w:rsidR="004174DE" w:rsidRPr="004174DE">
              <w:rPr>
                <w:b/>
                <w:color w:val="FF0000"/>
                <w:sz w:val="22"/>
                <w:szCs w:val="22"/>
                <w:lang w:val="is-IS"/>
              </w:rPr>
              <w:t>.</w:t>
            </w:r>
          </w:p>
        </w:tc>
        <w:tc>
          <w:tcPr>
            <w:tcW w:w="754" w:type="dxa"/>
            <w:vAlign w:val="center"/>
          </w:tcPr>
          <w:p w:rsidR="0076196D" w:rsidRPr="004174DE" w:rsidRDefault="0076196D" w:rsidP="0061041F">
            <w:pPr>
              <w:jc w:val="center"/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Liður</w:t>
            </w:r>
          </w:p>
        </w:tc>
        <w:tc>
          <w:tcPr>
            <w:tcW w:w="7380" w:type="dxa"/>
            <w:vAlign w:val="center"/>
          </w:tcPr>
          <w:p w:rsidR="0076196D" w:rsidRPr="004174DE" w:rsidRDefault="0076196D" w:rsidP="0061041F">
            <w:pPr>
              <w:rPr>
                <w:b/>
                <w:sz w:val="22"/>
                <w:szCs w:val="22"/>
              </w:rPr>
            </w:pPr>
            <w:proofErr w:type="spellStart"/>
            <w:r w:rsidRPr="004174DE">
              <w:rPr>
                <w:b/>
                <w:sz w:val="22"/>
                <w:szCs w:val="22"/>
              </w:rPr>
              <w:t>Efni</w:t>
            </w:r>
            <w:proofErr w:type="spellEnd"/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b/>
                <w:color w:val="FF0000"/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1.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AB5C84">
            <w:pPr>
              <w:rPr>
                <w:sz w:val="22"/>
                <w:szCs w:val="22"/>
                <w:lang w:val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ÁBYRGIR AÐILAR</w:t>
            </w:r>
          </w:p>
        </w:tc>
      </w:tr>
      <w:tr w:rsidR="00D33DD7" w:rsidRPr="004174DE" w:rsidTr="004174DE">
        <w:trPr>
          <w:trHeight w:val="108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1.1.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2B04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Tilgreina skal alla aðila sem eru ábyrgir fyrir upplýsingum í útgefandalýsingunni, og, eftir atvikum, fyrir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tilteknum hlutum hennar og í því tilviki skal tilgreina þá hluta sem þeir eru ábyrgir fyrir. Ef um er að ræða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einstaklinga, þ.m.t. aðilar að stjórn, framkvæmdastjórn eða eftirlitsstjórn útgefan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dans, skulu þeir tilgreindir með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nafni og stöðuheiti. Ef um er að ræða lögaðila skal tilgreina nafn þeirra og skráða skrifstofu.</w:t>
            </w:r>
          </w:p>
        </w:tc>
      </w:tr>
      <w:tr w:rsidR="00D33DD7" w:rsidRPr="004174DE" w:rsidTr="004174DE">
        <w:trPr>
          <w:trHeight w:val="1296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1.2.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2B04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Yfirlýsing frá þeim sem eru ábyrgir fyrir útgefandalýsingunni þess efnis að samkvæmt þeirra bestu vitund séu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upplýsingarnar, sem útgefandalýsingin hefur að geyma, í samræmi við staðreyndir og að engum upplýsingum sé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sleppt sem kunna að skipta máli varðandi áreiðanleika hennar. Eftir atvikum, yfirlýsing frá þeim sem eru ábyrgir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fyrir tilteknum hlutum útgefandalýsingarinnar þess efnis að samkvæmt þeirra bestu vitund séu upplýsingarnar,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sem er að finna í þeim hluta útgefandalýsingarinnar sem þeir eru ábyrgir fyrir, í samræmi við staðreyndir og að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engum upplýsingum sé sleppt sem kunna að skipta máli varðandi áreiðanleika hans.</w:t>
            </w:r>
          </w:p>
        </w:tc>
      </w:tr>
      <w:tr w:rsidR="00D33DD7" w:rsidRPr="004174DE" w:rsidTr="004174DE">
        <w:trPr>
          <w:trHeight w:val="722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2.</w:t>
            </w:r>
          </w:p>
        </w:tc>
        <w:tc>
          <w:tcPr>
            <w:tcW w:w="7380" w:type="dxa"/>
            <w:vAlign w:val="center"/>
          </w:tcPr>
          <w:p w:rsidR="00BC4E8B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ÁHÆTTUÞÆTTIR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áhættuþætti, sem geta haft áhrif á getu útgefandans til að uppfylla skuldbindingar gagnvart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fjárfestum í tengslum við verðbréfin skulu birtar á áberandi stað í kafla sem ber yfirskriftina „Áhættuþættir“.</w:t>
            </w:r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3.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2B04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UPPLÝSINGAR UM ÚTGEFANDANN</w:t>
            </w:r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3.1.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AB5C84">
            <w:pPr>
              <w:rPr>
                <w:sz w:val="22"/>
                <w:szCs w:val="22"/>
                <w:lang w:val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Lögheiti útgefanda og stutt lýsing á réttarstöðu hans innan ramma ríkisins.</w:t>
            </w:r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3.2.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2B04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Lögheimili eða landfræðileg búseta og rekstrarform útgefanda að lögum ásamt símanúmeri og hvar hægt sé að ná</w:t>
            </w:r>
            <w:r w:rsidR="002B04BF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 hann.</w:t>
            </w:r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3.3.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2B04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Hvers kyns atburðir sem hafa nýlega átt sér stað sem snerta útgefanda og skipta máli við mat á gjaldhæfi hans.</w:t>
            </w:r>
          </w:p>
        </w:tc>
      </w:tr>
      <w:tr w:rsidR="00D33DD7" w:rsidRPr="004174DE" w:rsidTr="004174DE">
        <w:trPr>
          <w:trHeight w:val="1415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3.4.</w:t>
            </w:r>
          </w:p>
        </w:tc>
        <w:tc>
          <w:tcPr>
            <w:tcW w:w="7380" w:type="dxa"/>
            <w:vAlign w:val="center"/>
          </w:tcPr>
          <w:p w:rsidR="00BC4E8B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efnahag útgefanda, þ.m.t.: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Default="00BC4E8B" w:rsidP="004174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Uppbygging efnahagsins ásamt ítarlegum upplýsingum um helstu svið hans,</w:t>
            </w:r>
          </w:p>
          <w:p w:rsidR="004174DE" w:rsidRPr="004174DE" w:rsidRDefault="004174DE" w:rsidP="004174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4174DE" w:rsidRDefault="00BC4E8B" w:rsidP="004174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heildarlandsframleiðsla sundurliðuð eftir efn</w:t>
            </w:r>
            <w:r w:rsid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ahagssviðum útgefanda fyrir tvö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undanfarandi fjárhagsár.</w:t>
            </w:r>
          </w:p>
        </w:tc>
      </w:tr>
      <w:tr w:rsidR="00D33DD7" w:rsidRPr="004174DE" w:rsidTr="004174DE">
        <w:trPr>
          <w:trHeight w:val="70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3.5.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9421DB">
            <w:pPr>
              <w:rPr>
                <w:sz w:val="22"/>
                <w:szCs w:val="22"/>
                <w:lang w:val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Almenn lýsing á stjórnkerfi útgefanda og ríkisstjórn, þ.m.t. ítarlegar upplýsingar um stjórnendur hjá útgefanda.</w:t>
            </w:r>
          </w:p>
        </w:tc>
      </w:tr>
      <w:tr w:rsidR="00D33DD7" w:rsidRPr="004174DE" w:rsidTr="004174DE"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4.</w:t>
            </w:r>
          </w:p>
        </w:tc>
        <w:tc>
          <w:tcPr>
            <w:tcW w:w="7380" w:type="dxa"/>
            <w:vAlign w:val="center"/>
          </w:tcPr>
          <w:p w:rsidR="00BC4E8B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OPINBER FJÁRMÁL OG VIÐSKIPTI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2B04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eftirfarandi að því er varðar tvö næstliðin fjárhagsár miðað við dagsetningu útgefandalýsingar: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Skatt- og fjárlagakerfi,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opinbera heildarskuld, þ.m.t. samantekt á skuld</w:t>
            </w:r>
            <w:r w:rsid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inni, skipulag bindistíma fyrir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útistandandi skuld (einkum er tilgreind skuld þar sem binditíminn sem eftir er er styttri en eitt ár) og skrá yfir endurgreiðslu skuldar, hluta skuldarinnar, sem er tilgreind í innlendum gjaldmiðli útgefanda og erlendum gjaldmiðlum,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utanríkisverslun og greiðslujöfnuð,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gjaldeyrisforða, þ.m.t. mögulegar kvaðir sem </w:t>
            </w:r>
            <w:r w:rsid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fylgja slíkum gjaldeyrisforða í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tengslum við framvirka samninga eða afleiður,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fjárhagsstöðu og fjármagnsúrræði, þ.m.t. selj</w:t>
            </w:r>
            <w:r w:rsid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anlegt tryggingarfé í innlendum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gjaldmiðli,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tekjur og útgjaldatölur.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4174DE" w:rsidRDefault="00BC4E8B" w:rsidP="00BC4E8B">
            <w:pPr>
              <w:rPr>
                <w:sz w:val="22"/>
                <w:szCs w:val="22"/>
                <w:lang w:val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 á málsmeðferð við endurskoðun eða óháðri könnun á reikningum útgefanda.</w:t>
            </w:r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5.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B63B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MIKILVÆGAR BREYTINGAR</w:t>
            </w:r>
          </w:p>
        </w:tc>
      </w:tr>
      <w:tr w:rsidR="00D33DD7" w:rsidRPr="004174DE" w:rsidTr="004174DE">
        <w:trPr>
          <w:trHeight w:val="874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5.1.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B63B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Ítarlegar upplýsingar um mikilvægar breytingar á upplýsingum, sem kveðið er á um í 4. lið, sem hafa átt sér stað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frá lokum síðasta reikningsárs eða ef slíkar breytingar hafa ekki átt sér stað skal fylgja yfirlýsing þess efnis.</w:t>
            </w:r>
          </w:p>
        </w:tc>
      </w:tr>
      <w:tr w:rsidR="00D33DD7" w:rsidRPr="004174DE" w:rsidTr="004174DE">
        <w:trPr>
          <w:trHeight w:val="239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6.</w:t>
            </w:r>
          </w:p>
        </w:tc>
        <w:tc>
          <w:tcPr>
            <w:tcW w:w="7380" w:type="dxa"/>
            <w:vAlign w:val="center"/>
          </w:tcPr>
          <w:p w:rsidR="00BC4E8B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DÓMSMÁL OG GERÐARDÓMSMÁL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4174DE" w:rsidRDefault="00BC4E8B" w:rsidP="00B63B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stjórnsýslu-, dóms- eða gerðardómsmál (þ.m.t. þau mál sem eru til meðferðar eða yfirvofandi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og útgefanda er kunnugt um) a.m.k. síðustu tólf mánaða sem kunna að hafa haft eða hafa að undanförnu haft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veruleg áhrif á fjárhagsstöðu útgefanda eða ef slíkt er ekki fyrir hendi skal fylgja yfirlýsing þess efnis.</w:t>
            </w:r>
          </w:p>
        </w:tc>
      </w:tr>
      <w:tr w:rsidR="00D33DD7" w:rsidRPr="004174DE" w:rsidTr="004174DE">
        <w:trPr>
          <w:trHeight w:val="28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6.2.</w:t>
            </w:r>
          </w:p>
        </w:tc>
        <w:tc>
          <w:tcPr>
            <w:tcW w:w="7380" w:type="dxa"/>
            <w:vAlign w:val="center"/>
          </w:tcPr>
          <w:p w:rsidR="00D33DD7" w:rsidRPr="004174DE" w:rsidRDefault="00BC4E8B" w:rsidP="009421DB">
            <w:pPr>
              <w:rPr>
                <w:sz w:val="22"/>
                <w:szCs w:val="22"/>
                <w:lang w:val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Upplýsingar um friðhelgi sem útgefandi nýtur í dómsmálum.</w:t>
            </w:r>
          </w:p>
        </w:tc>
      </w:tr>
      <w:tr w:rsidR="00D33DD7" w:rsidRPr="004174DE" w:rsidTr="004174DE">
        <w:trPr>
          <w:trHeight w:val="2004"/>
        </w:trPr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7.</w:t>
            </w:r>
          </w:p>
        </w:tc>
        <w:tc>
          <w:tcPr>
            <w:tcW w:w="7380" w:type="dxa"/>
            <w:vAlign w:val="center"/>
          </w:tcPr>
          <w:p w:rsidR="00BC4E8B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SÉRFRÆÐIÁLIT OG HAGSMUNAYFIRLÝSINGAR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B63B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Ef útgefandalýsing hefur að geyma greinargerð eða skýrslu frá sérfræðingi skal tilgreina nafn þessa einstaklings,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heimilisfang vinnustaðar ásamt menntun hans og hæfi. Ef skýrslan er samin að beiðni útgefanda skal gefa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yfirlýsingu um að slík yfirlýsing eða skýrsla fylgi, á hvaða formi og í hvaða samhengi hún er ásamt samþykki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þess einstaklings sem hefur heimilað efni þessa hluta útgefanda</w:t>
            </w:r>
            <w:r w:rsid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softHyphen/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lýsingarinnar.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4174DE" w:rsidRDefault="00BC4E8B" w:rsidP="00B63B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Útgefandi skal, að því marki sem honum er kunnugt um, láta í té upplýsingar um hvers kyns hagsmunaárekstra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sem tengjast slíkum sérfræðingi og kunna að hafa áhrif á sjálfstæði hans við gerð skýrslunnar.</w:t>
            </w:r>
          </w:p>
        </w:tc>
      </w:tr>
      <w:tr w:rsidR="00D33DD7" w:rsidRPr="004174DE" w:rsidTr="004174DE">
        <w:tc>
          <w:tcPr>
            <w:tcW w:w="1406" w:type="dxa"/>
          </w:tcPr>
          <w:p w:rsidR="00D33DD7" w:rsidRPr="004174DE" w:rsidRDefault="00D33DD7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D33DD7" w:rsidRPr="004174DE" w:rsidRDefault="00BC4E8B">
            <w:pPr>
              <w:rPr>
                <w:b/>
                <w:sz w:val="22"/>
                <w:szCs w:val="22"/>
                <w:lang w:val="is-IS"/>
              </w:rPr>
            </w:pPr>
            <w:r w:rsidRPr="004174DE">
              <w:rPr>
                <w:b/>
                <w:sz w:val="22"/>
                <w:szCs w:val="22"/>
                <w:lang w:val="is-IS"/>
              </w:rPr>
              <w:t>8.</w:t>
            </w:r>
          </w:p>
        </w:tc>
        <w:tc>
          <w:tcPr>
            <w:tcW w:w="7380" w:type="dxa"/>
            <w:vAlign w:val="center"/>
          </w:tcPr>
          <w:p w:rsidR="00BC4E8B" w:rsidRPr="004174DE" w:rsidRDefault="00BC4E8B" w:rsidP="00BC4E8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is-IS" w:eastAsia="is-IS"/>
              </w:rPr>
              <w:t>SKJÖL TIL SÝNIS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B63B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Yfirlýsing þess efnis að á meðan útgefandalýsing er í gildi er heimilt, eftir atvikum, að skoða eftirfarandi skjöl</w:t>
            </w:r>
            <w:r w:rsidR="00B63BEC"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(eða afrit þeirra):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Fjárhagsupplýsingar og skýrslur endurskoðanda vegna útgefanda fyrir síðastliðin tvö reikningsár og fjárhagsáætlun yfirstandandi reikningsárs,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BC4E8B" w:rsidRPr="004174DE" w:rsidRDefault="00BC4E8B" w:rsidP="004174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allar skýrslur, bréf og önnur skjöl, mats- og greinargerðir samd</w:t>
            </w:r>
            <w:r w:rsid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ar af </w:t>
            </w: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sérfræðingum að </w:t>
            </w:r>
            <w:bookmarkStart w:id="0" w:name="_GoBack"/>
            <w:bookmarkEnd w:id="0"/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beiðni útgefanda sem að öllu leyti eða að hluta til eru felldar inn í eða vísað til í útgefandalýsingu.</w:t>
            </w:r>
          </w:p>
          <w:p w:rsidR="00BC4E8B" w:rsidRPr="004174DE" w:rsidRDefault="00BC4E8B" w:rsidP="00BC4E8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D33DD7" w:rsidRPr="004174DE" w:rsidRDefault="00BC4E8B" w:rsidP="00BC4E8B">
            <w:pPr>
              <w:rPr>
                <w:sz w:val="22"/>
                <w:szCs w:val="22"/>
                <w:lang w:val="is-IS"/>
              </w:rPr>
            </w:pPr>
            <w:r w:rsidRPr="004174DE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Veita skal upplýsingar um hvar unnt sé að skoða skjölin, sem eru til sýnis, á pappírsformi eða á rafrænu formi.</w:t>
            </w:r>
          </w:p>
        </w:tc>
      </w:tr>
    </w:tbl>
    <w:p w:rsidR="00D33DD7" w:rsidRPr="00D33DD7" w:rsidRDefault="00D33DD7">
      <w:pPr>
        <w:rPr>
          <w:lang w:val="is-IS"/>
        </w:rPr>
      </w:pPr>
    </w:p>
    <w:sectPr w:rsidR="00D33DD7" w:rsidRPr="00D33DD7" w:rsidSect="00A76E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C3" w:rsidRDefault="00F557C3">
      <w:r>
        <w:separator/>
      </w:r>
    </w:p>
  </w:endnote>
  <w:endnote w:type="continuationSeparator" w:id="0">
    <w:p w:rsidR="00F557C3" w:rsidRDefault="00F5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EC" w:rsidRDefault="00B63BEC" w:rsidP="009421DB">
    <w:pPr>
      <w:pStyle w:val="Footer"/>
      <w:jc w:val="center"/>
    </w:pPr>
    <w:r w:rsidRPr="009421DB">
      <w:rPr>
        <w:sz w:val="20"/>
        <w:szCs w:val="20"/>
      </w:rPr>
      <w:fldChar w:fldCharType="begin"/>
    </w:r>
    <w:r w:rsidRPr="009421DB">
      <w:rPr>
        <w:sz w:val="20"/>
        <w:szCs w:val="20"/>
      </w:rPr>
      <w:instrText xml:space="preserve"> PAGE </w:instrText>
    </w:r>
    <w:r w:rsidRPr="009421DB">
      <w:rPr>
        <w:sz w:val="20"/>
        <w:szCs w:val="20"/>
      </w:rPr>
      <w:fldChar w:fldCharType="separate"/>
    </w:r>
    <w:r w:rsidR="00DF4B1B">
      <w:rPr>
        <w:noProof/>
        <w:sz w:val="20"/>
        <w:szCs w:val="20"/>
      </w:rPr>
      <w:t>3</w:t>
    </w:r>
    <w:r w:rsidRPr="009421D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EC" w:rsidRPr="009421DB" w:rsidRDefault="00B63BEC" w:rsidP="009421DB">
    <w:pPr>
      <w:pStyle w:val="Footer"/>
      <w:jc w:val="center"/>
      <w:rPr>
        <w:sz w:val="20"/>
        <w:szCs w:val="20"/>
      </w:rPr>
    </w:pPr>
    <w:r w:rsidRPr="009421DB">
      <w:rPr>
        <w:sz w:val="20"/>
        <w:szCs w:val="20"/>
      </w:rPr>
      <w:fldChar w:fldCharType="begin"/>
    </w:r>
    <w:r w:rsidRPr="009421DB">
      <w:rPr>
        <w:sz w:val="20"/>
        <w:szCs w:val="20"/>
      </w:rPr>
      <w:instrText xml:space="preserve"> PAGE </w:instrText>
    </w:r>
    <w:r w:rsidRPr="009421DB">
      <w:rPr>
        <w:sz w:val="20"/>
        <w:szCs w:val="20"/>
      </w:rPr>
      <w:fldChar w:fldCharType="separate"/>
    </w:r>
    <w:r w:rsidR="00A76ECF">
      <w:rPr>
        <w:noProof/>
        <w:sz w:val="20"/>
        <w:szCs w:val="20"/>
      </w:rPr>
      <w:t>1</w:t>
    </w:r>
    <w:r w:rsidRPr="009421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C3" w:rsidRDefault="00F557C3">
      <w:r>
        <w:separator/>
      </w:r>
    </w:p>
  </w:footnote>
  <w:footnote w:type="continuationSeparator" w:id="0">
    <w:p w:rsidR="00F557C3" w:rsidRDefault="00F5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CF" w:rsidRPr="007A3D9E" w:rsidRDefault="00DF4B1B" w:rsidP="00A76ECF">
    <w:pPr>
      <w:pStyle w:val="Header"/>
      <w:tabs>
        <w:tab w:val="clear" w:pos="9072"/>
        <w:tab w:val="right" w:pos="9214"/>
      </w:tabs>
      <w:ind w:left="-284"/>
      <w:rPr>
        <w:sz w:val="16"/>
        <w:szCs w:val="16"/>
        <w:lang w:val="is-I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2.85pt;margin-top:-4.6pt;width:124.95pt;height:43.1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  <w10:anchorlock/>
        </v:shape>
      </w:pict>
    </w:r>
    <w:r w:rsidR="00A76ECF" w:rsidRPr="00862F31">
      <w:rPr>
        <w:lang w:val="is-IS"/>
      </w:rPr>
      <w:t>(Málsnúmer)</w:t>
    </w:r>
    <w:r w:rsidR="00A76ECF" w:rsidRPr="007A3D9E">
      <w:rPr>
        <w:sz w:val="16"/>
        <w:szCs w:val="16"/>
        <w:lang w:val="is-IS"/>
      </w:rPr>
      <w:tab/>
    </w:r>
    <w:r w:rsidR="00A76ECF" w:rsidRPr="007A3D9E">
      <w:rPr>
        <w:sz w:val="16"/>
        <w:szCs w:val="16"/>
        <w:lang w:val="is-IS"/>
      </w:rPr>
      <w:tab/>
    </w:r>
    <w:r w:rsidR="00A76ECF">
      <w:rPr>
        <w:sz w:val="16"/>
        <w:szCs w:val="16"/>
        <w:lang w:val="is-IS"/>
      </w:rPr>
      <w:t>XVI</w:t>
    </w:r>
    <w:r w:rsidR="00A76ECF" w:rsidRPr="007A3D9E">
      <w:rPr>
        <w:sz w:val="16"/>
        <w:szCs w:val="16"/>
        <w:lang w:val="is-IS"/>
      </w:rPr>
      <w:t>. Viðauki</w:t>
    </w:r>
  </w:p>
  <w:p w:rsidR="00A76ECF" w:rsidRPr="007A3D9E" w:rsidRDefault="00DF4B1B" w:rsidP="00A76ECF">
    <w:pPr>
      <w:pStyle w:val="Header"/>
      <w:ind w:left="-284"/>
      <w:rPr>
        <w:sz w:val="16"/>
        <w:szCs w:val="16"/>
        <w:lang w:val="is-IS"/>
      </w:rPr>
    </w:pPr>
    <w:r>
      <w:rPr>
        <w:sz w:val="16"/>
        <w:szCs w:val="16"/>
        <w:lang w:val="is-IS"/>
      </w:rPr>
      <w:t>Útgefand</w:t>
    </w:r>
    <w:r w:rsidR="00A76ECF">
      <w:rPr>
        <w:sz w:val="16"/>
        <w:szCs w:val="16"/>
        <w:lang w:val="is-IS"/>
      </w:rPr>
      <w:t>alýsing</w:t>
    </w:r>
    <w:r w:rsidR="00A76ECF" w:rsidRPr="007A3D9E">
      <w:rPr>
        <w:sz w:val="16"/>
        <w:szCs w:val="16"/>
        <w:lang w:val="is-IS"/>
      </w:rPr>
      <w:t>, X. drög</w:t>
    </w:r>
  </w:p>
  <w:p w:rsidR="00A76ECF" w:rsidRPr="007A3D9E" w:rsidRDefault="00A76ECF" w:rsidP="00A76ECF">
    <w:pPr>
      <w:pStyle w:val="Header"/>
      <w:ind w:left="-284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  <w:p w:rsidR="00A76ECF" w:rsidRPr="00CA74B0" w:rsidRDefault="00A76ECF" w:rsidP="00A76ECF">
    <w:pPr>
      <w:pStyle w:val="Header"/>
      <w:ind w:left="-284"/>
    </w:pPr>
  </w:p>
  <w:p w:rsidR="00B63BEC" w:rsidRPr="00A76ECF" w:rsidRDefault="00B63BEC" w:rsidP="00A76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74" w:rsidRPr="007A3D9E" w:rsidRDefault="00DF4B1B" w:rsidP="00F64374">
    <w:pPr>
      <w:pStyle w:val="Header"/>
      <w:tabs>
        <w:tab w:val="clear" w:pos="9072"/>
        <w:tab w:val="right" w:pos="9214"/>
      </w:tabs>
      <w:ind w:left="-284"/>
      <w:rPr>
        <w:sz w:val="16"/>
        <w:szCs w:val="16"/>
        <w:lang w:val="is-I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172.85pt;margin-top:-4.6pt;width:124.95pt;height:43.1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  <w10:anchorlock/>
        </v:shape>
      </w:pict>
    </w:r>
    <w:r w:rsidR="00F64374" w:rsidRPr="00862F31">
      <w:rPr>
        <w:lang w:val="is-IS"/>
      </w:rPr>
      <w:t>(Málsnúmer)</w:t>
    </w:r>
    <w:r w:rsidR="00F64374" w:rsidRPr="007A3D9E">
      <w:rPr>
        <w:sz w:val="16"/>
        <w:szCs w:val="16"/>
        <w:lang w:val="is-IS"/>
      </w:rPr>
      <w:tab/>
    </w:r>
    <w:r w:rsidR="00F64374" w:rsidRPr="007A3D9E">
      <w:rPr>
        <w:sz w:val="16"/>
        <w:szCs w:val="16"/>
        <w:lang w:val="is-IS"/>
      </w:rPr>
      <w:tab/>
    </w:r>
    <w:r w:rsidR="00F64374">
      <w:rPr>
        <w:sz w:val="16"/>
        <w:szCs w:val="16"/>
        <w:lang w:val="is-IS"/>
      </w:rPr>
      <w:t>XVI</w:t>
    </w:r>
    <w:r w:rsidR="00F64374" w:rsidRPr="007A3D9E">
      <w:rPr>
        <w:sz w:val="16"/>
        <w:szCs w:val="16"/>
        <w:lang w:val="is-IS"/>
      </w:rPr>
      <w:t>. Viðauki</w:t>
    </w:r>
  </w:p>
  <w:p w:rsidR="00F64374" w:rsidRPr="007A3D9E" w:rsidRDefault="00F64374" w:rsidP="00F64374">
    <w:pPr>
      <w:pStyle w:val="Header"/>
      <w:ind w:left="-284"/>
      <w:rPr>
        <w:sz w:val="16"/>
        <w:szCs w:val="16"/>
        <w:lang w:val="is-IS"/>
      </w:rPr>
    </w:pPr>
    <w:r>
      <w:rPr>
        <w:sz w:val="16"/>
        <w:szCs w:val="16"/>
        <w:lang w:val="is-IS"/>
      </w:rPr>
      <w:t>Verðbréfalýsing</w:t>
    </w:r>
    <w:r w:rsidRPr="007A3D9E">
      <w:rPr>
        <w:sz w:val="16"/>
        <w:szCs w:val="16"/>
        <w:lang w:val="is-IS"/>
      </w:rPr>
      <w:t>, X. drög</w:t>
    </w:r>
  </w:p>
  <w:p w:rsidR="00F64374" w:rsidRPr="007A3D9E" w:rsidRDefault="00F64374" w:rsidP="00F64374">
    <w:pPr>
      <w:pStyle w:val="Header"/>
      <w:ind w:left="-284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  <w:p w:rsidR="00F64374" w:rsidRPr="00CA74B0" w:rsidRDefault="00F64374" w:rsidP="00F64374">
    <w:pPr>
      <w:pStyle w:val="Header"/>
      <w:ind w:left="-284"/>
    </w:pPr>
  </w:p>
  <w:p w:rsidR="00B10DEF" w:rsidRPr="00F64374" w:rsidRDefault="00B10DEF" w:rsidP="00F64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DF7"/>
    <w:multiLevelType w:val="hybridMultilevel"/>
    <w:tmpl w:val="D74E676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154C"/>
    <w:multiLevelType w:val="hybridMultilevel"/>
    <w:tmpl w:val="56542D5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A91"/>
    <w:multiLevelType w:val="hybridMultilevel"/>
    <w:tmpl w:val="06DC86E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869"/>
    <w:multiLevelType w:val="hybridMultilevel"/>
    <w:tmpl w:val="FC04C0E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FD2"/>
    <w:rsid w:val="00023564"/>
    <w:rsid w:val="00046FD2"/>
    <w:rsid w:val="000962A0"/>
    <w:rsid w:val="00126874"/>
    <w:rsid w:val="001B39BC"/>
    <w:rsid w:val="00221654"/>
    <w:rsid w:val="00256B11"/>
    <w:rsid w:val="002B04BF"/>
    <w:rsid w:val="002B3F86"/>
    <w:rsid w:val="003232CF"/>
    <w:rsid w:val="003A7ED9"/>
    <w:rsid w:val="004174DE"/>
    <w:rsid w:val="004435A0"/>
    <w:rsid w:val="0048355D"/>
    <w:rsid w:val="00612D48"/>
    <w:rsid w:val="0076196D"/>
    <w:rsid w:val="007A34A6"/>
    <w:rsid w:val="00883D96"/>
    <w:rsid w:val="009135B6"/>
    <w:rsid w:val="009421DB"/>
    <w:rsid w:val="00970620"/>
    <w:rsid w:val="009D4218"/>
    <w:rsid w:val="00A76ECF"/>
    <w:rsid w:val="00A8391C"/>
    <w:rsid w:val="00AB5C84"/>
    <w:rsid w:val="00AE6A4B"/>
    <w:rsid w:val="00AF17FB"/>
    <w:rsid w:val="00B10DEF"/>
    <w:rsid w:val="00B37271"/>
    <w:rsid w:val="00B54544"/>
    <w:rsid w:val="00B63BEC"/>
    <w:rsid w:val="00B71F76"/>
    <w:rsid w:val="00B91842"/>
    <w:rsid w:val="00BC4E8B"/>
    <w:rsid w:val="00C83FBB"/>
    <w:rsid w:val="00D2155C"/>
    <w:rsid w:val="00D23CF1"/>
    <w:rsid w:val="00D33DD7"/>
    <w:rsid w:val="00DE482C"/>
    <w:rsid w:val="00DF4B1B"/>
    <w:rsid w:val="00E06813"/>
    <w:rsid w:val="00E36869"/>
    <w:rsid w:val="00F10502"/>
    <w:rsid w:val="00F2171A"/>
    <w:rsid w:val="00F2751A"/>
    <w:rsid w:val="00F557C3"/>
    <w:rsid w:val="00F64374"/>
    <w:rsid w:val="00FD06D0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DD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3D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3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64374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826D-CB20-4408-8D4F-82C991AF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Fjármálaeftirlitið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cp:keywords/>
  <dc:description/>
  <cp:revision>8</cp:revision>
  <cp:lastPrinted>2011-12-22T15:38:00Z</cp:lastPrinted>
  <dcterms:created xsi:type="dcterms:W3CDTF">2011-02-23T09:58:00Z</dcterms:created>
  <dcterms:modified xsi:type="dcterms:W3CDTF">2012-01-05T11:10:00Z</dcterms:modified>
</cp:coreProperties>
</file>