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36" w:rsidRDefault="002B0E36" w:rsidP="00A12814">
      <w:pPr>
        <w:rPr>
          <w:b/>
          <w:sz w:val="20"/>
          <w:szCs w:val="20"/>
          <w:lang w:val="is-IS"/>
        </w:rPr>
      </w:pPr>
    </w:p>
    <w:p w:rsidR="00A12814" w:rsidRPr="00F70D5A" w:rsidRDefault="00161EA2" w:rsidP="00A12814">
      <w:pPr>
        <w:rPr>
          <w:b/>
          <w:sz w:val="22"/>
          <w:szCs w:val="22"/>
          <w:lang w:val="is-IS" w:eastAsia="en-US"/>
        </w:rPr>
      </w:pPr>
      <w:r w:rsidRPr="00F70D5A">
        <w:rPr>
          <w:b/>
          <w:sz w:val="22"/>
          <w:szCs w:val="22"/>
          <w:lang w:val="is-IS"/>
        </w:rPr>
        <w:t>X</w:t>
      </w:r>
      <w:r w:rsidR="005B39EF" w:rsidRPr="00F70D5A">
        <w:rPr>
          <w:b/>
          <w:sz w:val="22"/>
          <w:szCs w:val="22"/>
          <w:lang w:val="is-IS"/>
        </w:rPr>
        <w:t>I</w:t>
      </w:r>
      <w:r w:rsidR="000F75B4" w:rsidRPr="00F70D5A">
        <w:rPr>
          <w:b/>
          <w:sz w:val="22"/>
          <w:szCs w:val="22"/>
          <w:lang w:val="is-IS"/>
        </w:rPr>
        <w:t>I</w:t>
      </w:r>
      <w:r w:rsidRPr="00F70D5A">
        <w:rPr>
          <w:b/>
          <w:sz w:val="22"/>
          <w:szCs w:val="22"/>
          <w:lang w:val="is-IS"/>
        </w:rPr>
        <w:t>I</w:t>
      </w:r>
      <w:r w:rsidR="00A12814" w:rsidRPr="00F70D5A">
        <w:rPr>
          <w:b/>
          <w:sz w:val="22"/>
          <w:szCs w:val="22"/>
          <w:lang w:val="is-IS"/>
        </w:rPr>
        <w:t>. VIÐAUKI – REGLUGERÐ FRAMKVÆMDASTJÓRNARINNAR (EB) nr. 809/2004 frá 29. apríl 2004</w:t>
      </w:r>
    </w:p>
    <w:p w:rsidR="00A12814" w:rsidRPr="00F70D5A" w:rsidRDefault="00A12814" w:rsidP="00A12814">
      <w:pPr>
        <w:ind w:left="720"/>
        <w:rPr>
          <w:b/>
          <w:color w:val="000000"/>
          <w:sz w:val="22"/>
          <w:szCs w:val="22"/>
          <w:lang w:val="is-IS" w:eastAsia="is-IS"/>
        </w:rPr>
      </w:pPr>
    </w:p>
    <w:p w:rsidR="00A12814" w:rsidRPr="00F70D5A" w:rsidRDefault="00A12814" w:rsidP="00A12814">
      <w:pPr>
        <w:rPr>
          <w:b/>
          <w:color w:val="000000"/>
          <w:sz w:val="22"/>
          <w:szCs w:val="22"/>
          <w:lang w:val="is-IS" w:eastAsia="is-IS"/>
        </w:rPr>
      </w:pPr>
      <w:r w:rsidRPr="00F70D5A">
        <w:rPr>
          <w:b/>
          <w:color w:val="000000"/>
          <w:sz w:val="22"/>
          <w:szCs w:val="22"/>
          <w:lang w:val="is-IS" w:eastAsia="is-IS"/>
        </w:rPr>
        <w:t xml:space="preserve">Sbr. tilgreint í 2. mgr. </w:t>
      </w:r>
      <w:proofErr w:type="spellStart"/>
      <w:r w:rsidRPr="00F70D5A">
        <w:rPr>
          <w:b/>
          <w:color w:val="000000"/>
          <w:sz w:val="22"/>
          <w:szCs w:val="22"/>
          <w:lang w:val="is-IS" w:eastAsia="is-IS"/>
        </w:rPr>
        <w:t>regl</w:t>
      </w:r>
      <w:proofErr w:type="spellEnd"/>
      <w:r w:rsidRPr="00F70D5A">
        <w:rPr>
          <w:b/>
          <w:color w:val="000000"/>
          <w:sz w:val="22"/>
          <w:szCs w:val="22"/>
          <w:lang w:val="is-IS" w:eastAsia="is-IS"/>
        </w:rPr>
        <w:t>. nr. 243/2006:</w:t>
      </w:r>
    </w:p>
    <w:p w:rsidR="00A12814" w:rsidRPr="00F70D5A" w:rsidRDefault="00A12814" w:rsidP="00A12814">
      <w:pPr>
        <w:rPr>
          <w:b/>
          <w:i/>
          <w:color w:val="000000"/>
          <w:sz w:val="22"/>
          <w:szCs w:val="22"/>
          <w:lang w:val="is-IS" w:eastAsia="is-IS"/>
        </w:rPr>
      </w:pPr>
      <w:r w:rsidRPr="00F70D5A">
        <w:rPr>
          <w:b/>
          <w:i/>
          <w:color w:val="000000"/>
          <w:sz w:val="22"/>
          <w:szCs w:val="22"/>
          <w:lang w:val="is-IS" w:eastAsia="is-IS"/>
        </w:rPr>
        <w:t>Ef ósamræmi er á milli íslensks og ensks texta reglugerðar framkvæmdastjórnarinnar nr. 809/2004 skal skýra íslenska textann með hliðsjón af enska textanum.</w:t>
      </w:r>
    </w:p>
    <w:p w:rsidR="00A12814" w:rsidRPr="00F70D5A" w:rsidRDefault="00A12814" w:rsidP="00A12814">
      <w:pPr>
        <w:ind w:left="720"/>
        <w:rPr>
          <w:b/>
          <w:color w:val="000000"/>
          <w:sz w:val="22"/>
          <w:szCs w:val="22"/>
          <w:lang w:val="is-IS" w:eastAsia="is-IS"/>
        </w:rPr>
      </w:pPr>
    </w:p>
    <w:p w:rsidR="00A12814" w:rsidRPr="00F70D5A" w:rsidRDefault="00A12814" w:rsidP="00A12814">
      <w:pPr>
        <w:rPr>
          <w:b/>
          <w:sz w:val="22"/>
          <w:szCs w:val="22"/>
          <w:lang w:val="is-IS"/>
        </w:rPr>
      </w:pPr>
      <w:r w:rsidRPr="00F70D5A">
        <w:rPr>
          <w:b/>
          <w:sz w:val="22"/>
          <w:szCs w:val="22"/>
          <w:lang w:val="is-IS"/>
        </w:rPr>
        <w:t>Ef ósamræmi er á milli textans í þessu skjali og texta reglugerðar framkvæmdastjórnarinnar nr. 809/2004 er það texti reglugerðarinnar sem gildir.</w:t>
      </w:r>
    </w:p>
    <w:p w:rsidR="00841558" w:rsidRPr="00F70D5A" w:rsidRDefault="00841558" w:rsidP="004562C7">
      <w:pPr>
        <w:rPr>
          <w:b/>
          <w:color w:val="4F81BD" w:themeColor="accent1"/>
          <w:sz w:val="22"/>
          <w:szCs w:val="22"/>
          <w:lang w:val="is-IS"/>
        </w:rPr>
      </w:pPr>
    </w:p>
    <w:p w:rsidR="008969AD" w:rsidRPr="00F70D5A" w:rsidRDefault="008969AD" w:rsidP="00036D2A">
      <w:pPr>
        <w:rPr>
          <w:b/>
          <w:sz w:val="22"/>
          <w:szCs w:val="22"/>
          <w:lang w:val="is-IS"/>
        </w:rPr>
      </w:pPr>
    </w:p>
    <w:p w:rsidR="00161EA2" w:rsidRPr="00F70D5A" w:rsidRDefault="00161EA2" w:rsidP="00161EA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  <w:r w:rsidRPr="00F70D5A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X</w:t>
      </w:r>
      <w:r w:rsidR="00BA1705" w:rsidRPr="00F70D5A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I</w:t>
      </w:r>
      <w:r w:rsidR="000F75B4" w:rsidRPr="00F70D5A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I</w:t>
      </w:r>
      <w:r w:rsidRPr="00F70D5A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I. VIÐAUKI</w:t>
      </w:r>
    </w:p>
    <w:p w:rsidR="00161EA2" w:rsidRPr="00F70D5A" w:rsidRDefault="00161EA2" w:rsidP="00161EA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</w:p>
    <w:p w:rsidR="00BA1705" w:rsidRPr="00F70D5A" w:rsidRDefault="000F75B4" w:rsidP="000F75B4">
      <w:pPr>
        <w:ind w:left="-180" w:firstLine="18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  <w:r w:rsidRPr="00F70D5A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Lágmarkskröfur um upplýsingar sem koma skulu fram í verðbréfalýsingu fyrir afleidd verðbréf þar sem nafnvi</w:t>
      </w:r>
      <w:r w:rsidR="00394B75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rði hverrar einingar er a.m.k. 10</w:t>
      </w:r>
      <w:bookmarkStart w:id="0" w:name="_GoBack"/>
      <w:bookmarkEnd w:id="0"/>
      <w:r w:rsidRPr="00F70D5A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0.000 evrur (grunnskjal)</w:t>
      </w:r>
    </w:p>
    <w:p w:rsidR="000F75B4" w:rsidRDefault="000F75B4" w:rsidP="000F75B4">
      <w:pPr>
        <w:ind w:left="-180" w:firstLine="180"/>
        <w:jc w:val="center"/>
        <w:rPr>
          <w:lang w:val="is-I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01"/>
        <w:gridCol w:w="1167"/>
        <w:gridCol w:w="7380"/>
      </w:tblGrid>
      <w:tr w:rsidR="0098398E" w:rsidRPr="009C0ABD" w:rsidTr="0098398E">
        <w:tc>
          <w:tcPr>
            <w:tcW w:w="1101" w:type="dxa"/>
          </w:tcPr>
          <w:p w:rsidR="0098398E" w:rsidRPr="00C4246A" w:rsidRDefault="0098398E" w:rsidP="00674FB4">
            <w:pPr>
              <w:rPr>
                <w:b/>
                <w:color w:val="FF0000"/>
                <w:sz w:val="22"/>
                <w:szCs w:val="22"/>
                <w:lang w:val="is-IS"/>
              </w:rPr>
            </w:pPr>
            <w:r>
              <w:rPr>
                <w:b/>
                <w:color w:val="FF0000"/>
                <w:sz w:val="22"/>
                <w:szCs w:val="22"/>
                <w:lang w:val="is-IS"/>
              </w:rPr>
              <w:t xml:space="preserve">Kafli# </w:t>
            </w:r>
            <w:proofErr w:type="spellStart"/>
            <w:r w:rsidRPr="00C4246A">
              <w:rPr>
                <w:b/>
                <w:color w:val="FF0000"/>
                <w:sz w:val="22"/>
                <w:szCs w:val="22"/>
                <w:lang w:val="is-IS"/>
              </w:rPr>
              <w:t>Bls</w:t>
            </w:r>
            <w:proofErr w:type="spellEnd"/>
            <w:r>
              <w:rPr>
                <w:b/>
                <w:color w:val="FF0000"/>
                <w:sz w:val="22"/>
                <w:szCs w:val="22"/>
                <w:lang w:val="is-IS"/>
              </w:rPr>
              <w:t>#</w:t>
            </w:r>
          </w:p>
        </w:tc>
        <w:tc>
          <w:tcPr>
            <w:tcW w:w="1167" w:type="dxa"/>
            <w:vAlign w:val="center"/>
          </w:tcPr>
          <w:p w:rsidR="0098398E" w:rsidRPr="00C4246A" w:rsidRDefault="0098398E" w:rsidP="00674FB4">
            <w:pPr>
              <w:rPr>
                <w:b/>
                <w:sz w:val="22"/>
                <w:szCs w:val="22"/>
                <w:lang w:val="is-IS"/>
              </w:rPr>
            </w:pPr>
            <w:r w:rsidRPr="00C4246A">
              <w:rPr>
                <w:b/>
                <w:sz w:val="22"/>
                <w:szCs w:val="22"/>
                <w:lang w:val="is-IS"/>
              </w:rPr>
              <w:t>Liður</w:t>
            </w:r>
          </w:p>
        </w:tc>
        <w:tc>
          <w:tcPr>
            <w:tcW w:w="7380" w:type="dxa"/>
            <w:vAlign w:val="center"/>
          </w:tcPr>
          <w:p w:rsidR="0098398E" w:rsidRPr="00C4246A" w:rsidRDefault="0098398E" w:rsidP="00674FB4">
            <w:pPr>
              <w:rPr>
                <w:b/>
                <w:sz w:val="22"/>
                <w:szCs w:val="22"/>
              </w:rPr>
            </w:pPr>
            <w:proofErr w:type="spellStart"/>
            <w:r w:rsidRPr="00C4246A">
              <w:rPr>
                <w:b/>
                <w:sz w:val="22"/>
                <w:szCs w:val="22"/>
              </w:rPr>
              <w:t>Efni</w:t>
            </w:r>
            <w:proofErr w:type="spellEnd"/>
          </w:p>
        </w:tc>
      </w:tr>
      <w:tr w:rsidR="00F70D5A" w:rsidRPr="009C0ABD" w:rsidTr="0098398E">
        <w:tc>
          <w:tcPr>
            <w:tcW w:w="1101" w:type="dxa"/>
          </w:tcPr>
          <w:p w:rsidR="00F70D5A" w:rsidRPr="009C0ABD" w:rsidRDefault="00F70D5A" w:rsidP="00A12814">
            <w:pPr>
              <w:rPr>
                <w:b/>
                <w:color w:val="FF0000"/>
                <w:sz w:val="22"/>
                <w:szCs w:val="22"/>
                <w:lang w:val="is-IS"/>
              </w:rPr>
            </w:pPr>
          </w:p>
        </w:tc>
        <w:tc>
          <w:tcPr>
            <w:tcW w:w="1167" w:type="dxa"/>
          </w:tcPr>
          <w:p w:rsidR="00F70D5A" w:rsidRPr="009C0ABD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 w:rsidRPr="009C0ABD">
              <w:rPr>
                <w:b/>
                <w:sz w:val="22"/>
                <w:szCs w:val="22"/>
                <w:lang w:val="is-IS"/>
              </w:rPr>
              <w:t>1.</w:t>
            </w:r>
          </w:p>
        </w:tc>
        <w:tc>
          <w:tcPr>
            <w:tcW w:w="7380" w:type="dxa"/>
            <w:vAlign w:val="center"/>
          </w:tcPr>
          <w:p w:rsidR="00F70D5A" w:rsidRPr="009C0ABD" w:rsidRDefault="00F70D5A" w:rsidP="008A365F">
            <w:pPr>
              <w:rPr>
                <w:sz w:val="22"/>
                <w:szCs w:val="22"/>
                <w:lang w:val="is-IS"/>
              </w:rPr>
            </w:pPr>
            <w:r w:rsidRPr="00C26FB8">
              <w:rPr>
                <w:b/>
                <w:sz w:val="22"/>
                <w:szCs w:val="22"/>
              </w:rPr>
              <w:t>ÁBYRGIR AÐILAR</w:t>
            </w:r>
          </w:p>
        </w:tc>
      </w:tr>
      <w:tr w:rsidR="00F70D5A" w:rsidRPr="009C0ABD" w:rsidTr="0098398E">
        <w:trPr>
          <w:trHeight w:val="964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Pr="009C0ABD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 w:rsidRPr="009C0ABD">
              <w:rPr>
                <w:b/>
                <w:sz w:val="22"/>
                <w:szCs w:val="22"/>
                <w:lang w:val="is-IS"/>
              </w:rPr>
              <w:t>1.1.</w:t>
            </w:r>
          </w:p>
        </w:tc>
        <w:tc>
          <w:tcPr>
            <w:tcW w:w="7380" w:type="dxa"/>
            <w:vAlign w:val="center"/>
          </w:tcPr>
          <w:p w:rsidR="00F70D5A" w:rsidRPr="009C0ABD" w:rsidRDefault="00F70D5A" w:rsidP="00E241ED">
            <w:pPr>
              <w:rPr>
                <w:sz w:val="22"/>
                <w:szCs w:val="22"/>
                <w:lang w:val="is-IS"/>
              </w:rPr>
            </w:pPr>
            <w:r w:rsidRPr="00E241ED">
              <w:rPr>
                <w:sz w:val="22"/>
                <w:szCs w:val="22"/>
                <w:lang w:val="is-IS"/>
              </w:rPr>
              <w:t>Tilgreina skal alla aðila sem eru ábyrgir fyrir upplýsingum í lýsingunni, og, eftir atvikum, fyrir tilteknum hlutum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E241ED">
              <w:rPr>
                <w:sz w:val="22"/>
                <w:szCs w:val="22"/>
                <w:lang w:val="is-IS"/>
              </w:rPr>
              <w:t>hennar og í því tilviki skal tilgreina þá hluta sem þeir eru ábyrgir fyrir. Ef um er að ræða einstaklinga, þ.m.t.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E241ED">
              <w:rPr>
                <w:sz w:val="22"/>
                <w:szCs w:val="22"/>
                <w:lang w:val="is-IS"/>
              </w:rPr>
              <w:t>aðilar að stjórn, framkvæmdastjórn eða eftirlitsstjórn útgefandans, skulu þeir tilgreindir með nafni og stöðuheiti.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E241ED">
              <w:rPr>
                <w:sz w:val="22"/>
                <w:szCs w:val="22"/>
                <w:lang w:val="is-IS"/>
              </w:rPr>
              <w:t>Ef um er að ræða lögaðila skal tilgreina nafn þeirra og skráða skrifstofu.</w:t>
            </w:r>
          </w:p>
        </w:tc>
      </w:tr>
      <w:tr w:rsidR="00F70D5A" w:rsidRPr="009C0ABD" w:rsidTr="0098398E"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Pr="009C0ABD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 w:rsidRPr="009C0ABD">
              <w:rPr>
                <w:b/>
                <w:sz w:val="22"/>
                <w:szCs w:val="22"/>
                <w:lang w:val="is-IS"/>
              </w:rPr>
              <w:t>1.2.</w:t>
            </w:r>
          </w:p>
        </w:tc>
        <w:tc>
          <w:tcPr>
            <w:tcW w:w="7380" w:type="dxa"/>
            <w:vAlign w:val="center"/>
          </w:tcPr>
          <w:p w:rsidR="00F70D5A" w:rsidRPr="009C0ABD" w:rsidRDefault="00F70D5A" w:rsidP="00E241ED">
            <w:pPr>
              <w:rPr>
                <w:sz w:val="22"/>
                <w:szCs w:val="22"/>
                <w:lang w:val="is-IS"/>
              </w:rPr>
            </w:pPr>
            <w:r w:rsidRPr="00E241ED">
              <w:rPr>
                <w:sz w:val="22"/>
                <w:szCs w:val="22"/>
                <w:lang w:val="is-IS"/>
              </w:rPr>
              <w:t>Yfirlýsing frá þeim sem eru ábyrgir fyrir lýsingunni þess efnis að samkvæmt þeirra bestu vitund séu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E241ED">
              <w:rPr>
                <w:sz w:val="22"/>
                <w:szCs w:val="22"/>
                <w:lang w:val="is-IS"/>
              </w:rPr>
              <w:t>upplýsingarnar, sem lýsingin hefur að geyma, í samræmi við staðreyndir og að engum upplýsingum sé sleppt sem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E241ED">
              <w:rPr>
                <w:sz w:val="22"/>
                <w:szCs w:val="22"/>
                <w:lang w:val="is-IS"/>
              </w:rPr>
              <w:t>kunna að skipta máli varðandi áreiðanleika hennar. Eftir atvikum, yfirlýsing frá þeim sem eru ábyrgir fyrir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E241ED">
              <w:rPr>
                <w:sz w:val="22"/>
                <w:szCs w:val="22"/>
                <w:lang w:val="is-IS"/>
              </w:rPr>
              <w:t>tilteknum hlutum lýsingarinnar þess efnis að samkvæmt þeirra bestu vitund séu upplýsingarnar, sem er að finna í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E241ED">
              <w:rPr>
                <w:sz w:val="22"/>
                <w:szCs w:val="22"/>
                <w:lang w:val="is-IS"/>
              </w:rPr>
              <w:t>þeim hluta lýsingarinnar sem þeir eru ábyrgir fyrir, í samræmi við staðreyndir og að engum upplýsingum sé</w:t>
            </w:r>
            <w:r>
              <w:rPr>
                <w:sz w:val="22"/>
                <w:szCs w:val="22"/>
                <w:lang w:val="is-IS"/>
              </w:rPr>
              <w:t xml:space="preserve"> </w:t>
            </w:r>
            <w:r w:rsidRPr="00E241ED">
              <w:rPr>
                <w:sz w:val="22"/>
                <w:szCs w:val="22"/>
                <w:lang w:val="is-IS"/>
              </w:rPr>
              <w:t>sleppt sem kunna að skipta máli varðandi áreiðanleika hans.</w:t>
            </w:r>
          </w:p>
        </w:tc>
      </w:tr>
      <w:tr w:rsidR="00F70D5A" w:rsidRPr="009C0ABD" w:rsidTr="0098398E">
        <w:trPr>
          <w:trHeight w:val="593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Pr="009C0ABD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2.</w:t>
            </w:r>
          </w:p>
        </w:tc>
        <w:tc>
          <w:tcPr>
            <w:tcW w:w="7380" w:type="dxa"/>
            <w:vAlign w:val="center"/>
          </w:tcPr>
          <w:p w:rsidR="00F70D5A" w:rsidRDefault="00F70D5A" w:rsidP="009057B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is-IS" w:eastAsia="is-IS"/>
              </w:rPr>
            </w:pPr>
            <w:r w:rsidRPr="00C26FB8">
              <w:rPr>
                <w:b/>
                <w:bCs/>
                <w:sz w:val="22"/>
                <w:szCs w:val="22"/>
                <w:lang w:val="is-IS" w:eastAsia="is-IS"/>
              </w:rPr>
              <w:t>ÁHÆTTUÞÆTTIR</w:t>
            </w:r>
          </w:p>
          <w:p w:rsidR="00F70D5A" w:rsidRDefault="00F70D5A" w:rsidP="009057B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is-IS" w:eastAsia="is-IS"/>
              </w:rPr>
            </w:pPr>
          </w:p>
          <w:p w:rsidR="00F70D5A" w:rsidRPr="0030196B" w:rsidRDefault="00F70D5A" w:rsidP="00E241E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is-IS" w:eastAsia="is-IS"/>
              </w:rPr>
            </w:pPr>
            <w:r w:rsidRPr="00E241ED">
              <w:rPr>
                <w:bCs/>
                <w:sz w:val="22"/>
                <w:szCs w:val="22"/>
                <w:lang w:val="is-IS" w:eastAsia="is-IS"/>
              </w:rPr>
              <w:t>Upplýsingar um áhættuþætti sem skipta máli fyrir verðbréfin sem eru boðin til kaups eða skráð á markað svo</w:t>
            </w:r>
            <w:r>
              <w:rPr>
                <w:bCs/>
                <w:sz w:val="22"/>
                <w:szCs w:val="22"/>
                <w:lang w:val="is-IS" w:eastAsia="is-IS"/>
              </w:rPr>
              <w:t xml:space="preserve"> </w:t>
            </w:r>
            <w:r w:rsidRPr="00E241ED">
              <w:rPr>
                <w:bCs/>
                <w:sz w:val="22"/>
                <w:szCs w:val="22"/>
                <w:lang w:val="is-IS" w:eastAsia="is-IS"/>
              </w:rPr>
              <w:t>meta megi markaðsáhættuna sem tengist þeim skulu birtar á áberandi stað í kafla sem ber yfirskriftina</w:t>
            </w:r>
            <w:r>
              <w:rPr>
                <w:bCs/>
                <w:sz w:val="22"/>
                <w:szCs w:val="22"/>
                <w:lang w:val="is-IS" w:eastAsia="is-IS"/>
              </w:rPr>
              <w:t xml:space="preserve"> </w:t>
            </w:r>
            <w:r w:rsidRPr="00E241ED">
              <w:rPr>
                <w:bCs/>
                <w:sz w:val="22"/>
                <w:szCs w:val="22"/>
                <w:lang w:val="is-IS" w:eastAsia="is-IS"/>
              </w:rPr>
              <w:t>„Áhættuþættir“.</w:t>
            </w:r>
          </w:p>
        </w:tc>
      </w:tr>
      <w:tr w:rsidR="00F70D5A" w:rsidRPr="009C0ABD" w:rsidTr="0098398E">
        <w:trPr>
          <w:trHeight w:val="333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3.</w:t>
            </w:r>
          </w:p>
        </w:tc>
        <w:tc>
          <w:tcPr>
            <w:tcW w:w="7380" w:type="dxa"/>
            <w:vAlign w:val="center"/>
          </w:tcPr>
          <w:p w:rsidR="00F70D5A" w:rsidRDefault="00F70D5A" w:rsidP="006F1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30196B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HELSTU UPPLÝSINGAR</w:t>
            </w:r>
          </w:p>
          <w:p w:rsidR="00F70D5A" w:rsidRDefault="00F70D5A" w:rsidP="006F1AA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</w:p>
          <w:p w:rsidR="00F70D5A" w:rsidRPr="00E241ED" w:rsidRDefault="00F70D5A" w:rsidP="00E241E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is-IS" w:eastAsia="is-IS"/>
              </w:rPr>
            </w:pPr>
            <w:r w:rsidRPr="00E241ED">
              <w:rPr>
                <w:i/>
                <w:sz w:val="22"/>
                <w:szCs w:val="22"/>
                <w:lang w:val="is-IS" w:eastAsia="is-IS"/>
              </w:rPr>
              <w:t>Hagsmunir einstaklinga og lögaðila sem tengjast útgáfunni</w:t>
            </w:r>
          </w:p>
          <w:p w:rsidR="00F70D5A" w:rsidRPr="00E241ED" w:rsidRDefault="00F70D5A" w:rsidP="00E241ED">
            <w:pPr>
              <w:autoSpaceDE w:val="0"/>
              <w:autoSpaceDN w:val="0"/>
              <w:adjustRightInd w:val="0"/>
              <w:rPr>
                <w:sz w:val="22"/>
                <w:szCs w:val="22"/>
                <w:lang w:val="is-IS" w:eastAsia="is-IS"/>
              </w:rPr>
            </w:pPr>
          </w:p>
          <w:p w:rsidR="00F70D5A" w:rsidRPr="00590EEB" w:rsidRDefault="00F70D5A" w:rsidP="00E241ED">
            <w:pPr>
              <w:autoSpaceDE w:val="0"/>
              <w:autoSpaceDN w:val="0"/>
              <w:adjustRightInd w:val="0"/>
              <w:rPr>
                <w:sz w:val="22"/>
                <w:szCs w:val="22"/>
                <w:lang w:val="is-IS" w:eastAsia="is-IS"/>
              </w:rPr>
            </w:pPr>
            <w:r w:rsidRPr="00E241ED">
              <w:rPr>
                <w:sz w:val="22"/>
                <w:szCs w:val="22"/>
                <w:lang w:val="is-IS" w:eastAsia="is-IS"/>
              </w:rPr>
              <w:t>Lýsing á hvers kyns hagsmunum, þ.m.t. ósamrýmanlegir hagsmunir, sem skipta máli fyrir útgáfuna, ásamt</w:t>
            </w:r>
            <w:r>
              <w:rPr>
                <w:sz w:val="22"/>
                <w:szCs w:val="22"/>
                <w:lang w:val="is-IS" w:eastAsia="is-IS"/>
              </w:rPr>
              <w:t xml:space="preserve"> </w:t>
            </w:r>
            <w:r w:rsidRPr="00E241ED">
              <w:rPr>
                <w:sz w:val="22"/>
                <w:szCs w:val="22"/>
                <w:lang w:val="is-IS" w:eastAsia="is-IS"/>
              </w:rPr>
              <w:t>ítarlegum upplýsingum um aðila sem hlut eiga að máli og eðli hagsmunanna.</w:t>
            </w:r>
          </w:p>
        </w:tc>
      </w:tr>
      <w:tr w:rsidR="00F70D5A" w:rsidRPr="009C0ABD" w:rsidTr="0098398E">
        <w:trPr>
          <w:trHeight w:val="28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</w:t>
            </w:r>
          </w:p>
        </w:tc>
        <w:tc>
          <w:tcPr>
            <w:tcW w:w="7380" w:type="dxa"/>
            <w:vAlign w:val="center"/>
          </w:tcPr>
          <w:p w:rsidR="00F70D5A" w:rsidRPr="0030196B" w:rsidRDefault="00F70D5A" w:rsidP="003019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30196B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UPPLÝSINGAR UM VERÐBRÉF SEM Á AÐ BJÓÐA/SKRÁ Á MARKAÐ</w:t>
            </w:r>
          </w:p>
        </w:tc>
      </w:tr>
      <w:tr w:rsidR="00F70D5A" w:rsidRPr="009C0ABD" w:rsidTr="0098398E">
        <w:trPr>
          <w:trHeight w:val="28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30196B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4.1.</w:t>
            </w:r>
          </w:p>
        </w:tc>
        <w:tc>
          <w:tcPr>
            <w:tcW w:w="7380" w:type="dxa"/>
            <w:vAlign w:val="center"/>
          </w:tcPr>
          <w:p w:rsidR="00F70D5A" w:rsidRPr="00AC3F9B" w:rsidRDefault="00F70D5A" w:rsidP="0030196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Heildarfjárhæð verðbréfa sem á að skrá á markað.</w:t>
            </w:r>
          </w:p>
        </w:tc>
      </w:tr>
      <w:tr w:rsidR="00F70D5A" w:rsidRPr="009C0ABD" w:rsidTr="0098398E">
        <w:trPr>
          <w:trHeight w:val="333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30196B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4.2.</w:t>
            </w:r>
          </w:p>
        </w:tc>
        <w:tc>
          <w:tcPr>
            <w:tcW w:w="7380" w:type="dxa"/>
            <w:vAlign w:val="center"/>
          </w:tcPr>
          <w:p w:rsidR="00F70D5A" w:rsidRPr="0030196B" w:rsidRDefault="00F70D5A" w:rsidP="00590EE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Lýsing á tegund og flokki verðbréfa sem á að skrá, þ.m.t. ISIN-númer eða annað slíkt öryggisauðkennisnúmer.</w:t>
            </w:r>
          </w:p>
        </w:tc>
      </w:tr>
      <w:tr w:rsidR="00F70D5A" w:rsidRPr="009C0ABD" w:rsidTr="0098398E">
        <w:trPr>
          <w:trHeight w:val="28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30196B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4.3.</w:t>
            </w:r>
          </w:p>
        </w:tc>
        <w:tc>
          <w:tcPr>
            <w:tcW w:w="7380" w:type="dxa"/>
            <w:vAlign w:val="center"/>
          </w:tcPr>
          <w:p w:rsidR="00F70D5A" w:rsidRPr="0030196B" w:rsidRDefault="00F70D5A" w:rsidP="00590EE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löggjöfina sem verðbréfin eru gefin út í samræmi við.</w:t>
            </w:r>
          </w:p>
        </w:tc>
      </w:tr>
      <w:tr w:rsidR="00F70D5A" w:rsidRPr="009C0ABD" w:rsidTr="0098398E">
        <w:trPr>
          <w:trHeight w:val="333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30196B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4.4.</w:t>
            </w:r>
          </w:p>
        </w:tc>
        <w:tc>
          <w:tcPr>
            <w:tcW w:w="7380" w:type="dxa"/>
            <w:vAlign w:val="center"/>
          </w:tcPr>
          <w:p w:rsidR="00F70D5A" w:rsidRPr="00111131" w:rsidRDefault="00F70D5A" w:rsidP="00AC3F9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hvort verðbréfin eru nafnbréf eða handhafabréf og hvort þau eru á pappírsformi eða rafrænt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skráð. Í síðara tilvikinu skal tilgreina nafn og heimilis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softHyphen/>
            </w: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fang aðilans sem sér um skráninguna.</w:t>
            </w:r>
          </w:p>
        </w:tc>
      </w:tr>
      <w:tr w:rsidR="00F70D5A" w:rsidRPr="009C0ABD" w:rsidTr="0098398E">
        <w:trPr>
          <w:trHeight w:val="75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30196B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4.5.</w:t>
            </w:r>
          </w:p>
        </w:tc>
        <w:tc>
          <w:tcPr>
            <w:tcW w:w="7380" w:type="dxa"/>
            <w:vAlign w:val="center"/>
          </w:tcPr>
          <w:p w:rsidR="00F70D5A" w:rsidRPr="00111131" w:rsidRDefault="00F70D5A" w:rsidP="005470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í hvaða gjaldmiðli verðbréfin eru gefin út.</w:t>
            </w:r>
          </w:p>
        </w:tc>
      </w:tr>
      <w:tr w:rsidR="00F70D5A" w:rsidRPr="009C0ABD" w:rsidTr="0098398E">
        <w:trPr>
          <w:trHeight w:val="520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4.6.</w:t>
            </w:r>
          </w:p>
        </w:tc>
        <w:tc>
          <w:tcPr>
            <w:tcW w:w="7380" w:type="dxa"/>
            <w:vAlign w:val="center"/>
          </w:tcPr>
          <w:p w:rsidR="00F70D5A" w:rsidRPr="005470CF" w:rsidRDefault="00F70D5A" w:rsidP="00AC3F9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Forgangsröðun verðbréfa sem á að skrá á markað, þ.m.t. samantektir á hvers kyns ákvæðum sem eiga að ákvarða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forgangsröðun verðbréfa eða gera þau víkjandi gagnvart yfirstandandi eða framtíðarskuldbindingum útgefandans.</w:t>
            </w:r>
          </w:p>
        </w:tc>
      </w:tr>
      <w:tr w:rsidR="00F70D5A" w:rsidRPr="009C0ABD" w:rsidTr="0098398E">
        <w:trPr>
          <w:trHeight w:val="333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4.7.</w:t>
            </w:r>
          </w:p>
        </w:tc>
        <w:tc>
          <w:tcPr>
            <w:tcW w:w="7380" w:type="dxa"/>
            <w:vAlign w:val="center"/>
          </w:tcPr>
          <w:p w:rsidR="00F70D5A" w:rsidRPr="005470CF" w:rsidRDefault="00F70D5A" w:rsidP="00AC3F9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Lýsing á réttindum tengdum verðbréfum, þ.m.t. hvers kyns takmarkanir á þessum réttindum, og málsmeðferð við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nýtingu þeirra.</w:t>
            </w:r>
          </w:p>
        </w:tc>
      </w:tr>
      <w:tr w:rsidR="00F70D5A" w:rsidRPr="009C0ABD" w:rsidTr="0098398E">
        <w:trPr>
          <w:trHeight w:val="333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4.8.</w:t>
            </w:r>
          </w:p>
        </w:tc>
        <w:tc>
          <w:tcPr>
            <w:tcW w:w="7380" w:type="dxa"/>
            <w:vAlign w:val="center"/>
          </w:tcPr>
          <w:p w:rsidR="00D12D59" w:rsidRPr="00D12D59" w:rsidRDefault="00D12D59" w:rsidP="00D12D5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D12D59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Nafnvextirnir og ákvæði varðandi vaxtagjöld</w:t>
            </w:r>
          </w:p>
          <w:p w:rsidR="00D12D59" w:rsidRPr="00D12D59" w:rsidRDefault="00D12D59" w:rsidP="00D12D5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</w:p>
          <w:p w:rsidR="00D12D59" w:rsidRPr="00D12D59" w:rsidRDefault="00D12D59" w:rsidP="00D12D59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D12D59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Upphafsdagur og gjalddagar vaxta.</w:t>
            </w:r>
          </w:p>
          <w:p w:rsidR="00D12D59" w:rsidRPr="00D12D59" w:rsidRDefault="00D12D59" w:rsidP="00D12D5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</w:p>
          <w:p w:rsidR="00D12D59" w:rsidRPr="00D12D59" w:rsidRDefault="00D12D59" w:rsidP="00D12D59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D12D59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Fyrningarfrestur á vaxtakröfum og kröfum til endurgreiðslu höfuðstóls.</w:t>
            </w:r>
          </w:p>
          <w:p w:rsidR="00D12D59" w:rsidRPr="00D12D59" w:rsidRDefault="00D12D59" w:rsidP="00D12D5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</w:p>
          <w:p w:rsidR="00D12D59" w:rsidRPr="00D12D59" w:rsidRDefault="00D12D59" w:rsidP="00D12D5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D12D59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Ef vextirnir eru ekki fastir, skal gefa yfirlýsingu þar sem fram kemur tegund undirliggjandi þáttar og lýsing á þeim undirliggjandi þætti og aðferðinni sem notuð er til að tengja undirliggjandi þáttinn og vextina</w:t>
            </w:r>
          </w:p>
          <w:p w:rsidR="00D12D59" w:rsidRPr="00D12D59" w:rsidRDefault="00D12D59" w:rsidP="00D12D5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</w:p>
          <w:p w:rsidR="00D12D59" w:rsidRPr="00D12D59" w:rsidRDefault="00D12D59" w:rsidP="00D12D5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D12D59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Lýsing á hvers kyns röskun á markaði eða atburðum sem valda röskun á greiðsluuppgjöri sem hafa áhrif á undirliggjandi þætti.</w:t>
            </w:r>
          </w:p>
          <w:p w:rsidR="00D12D59" w:rsidRPr="00D12D59" w:rsidRDefault="00D12D59" w:rsidP="00D12D5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</w:p>
          <w:p w:rsidR="00D12D59" w:rsidRPr="00D12D59" w:rsidRDefault="00D12D59" w:rsidP="00D12D5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D12D59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Leiðréttingarreglur sem tengjast atburðum sem hafa áhrif á undirliggjandi þætti.</w:t>
            </w:r>
          </w:p>
          <w:p w:rsidR="00D12D59" w:rsidRPr="00D12D59" w:rsidRDefault="00D12D59" w:rsidP="00D12D5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</w:p>
          <w:p w:rsidR="00F70D5A" w:rsidRPr="00D12D59" w:rsidRDefault="00D12D59" w:rsidP="00D12D5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D12D59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Nafn þess aðila sem sér um útreikning.</w:t>
            </w:r>
          </w:p>
        </w:tc>
      </w:tr>
      <w:tr w:rsidR="00F70D5A" w:rsidRPr="009C0ABD" w:rsidTr="0098398E">
        <w:trPr>
          <w:trHeight w:val="28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4.9.</w:t>
            </w:r>
          </w:p>
        </w:tc>
        <w:tc>
          <w:tcPr>
            <w:tcW w:w="7380" w:type="dxa"/>
            <w:vAlign w:val="center"/>
          </w:tcPr>
          <w:p w:rsidR="00F70D5A" w:rsidRPr="005470CF" w:rsidRDefault="00F70D5A" w:rsidP="00AC3F9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Gjalddagi og fyrirkomulag á niðurgreiðslu lánsins, þ.m.t. hvernig endurgreiðslur fara fram. Ef fyrirhugað er að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flýta niðurgreiðslu lánsins, að frumkvæði útgefanda eða handhafa verðbréfa, skal gera grein fyrir skilmálum og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skilyrðum niðurgreiðslunnar.</w:t>
            </w:r>
          </w:p>
        </w:tc>
      </w:tr>
      <w:tr w:rsidR="00F70D5A" w:rsidRPr="009C0ABD" w:rsidTr="0098398E">
        <w:trPr>
          <w:trHeight w:val="28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4.10.</w:t>
            </w:r>
          </w:p>
        </w:tc>
        <w:tc>
          <w:tcPr>
            <w:tcW w:w="7380" w:type="dxa"/>
            <w:vAlign w:val="center"/>
          </w:tcPr>
          <w:p w:rsidR="00F70D5A" w:rsidRPr="005470CF" w:rsidRDefault="00F70D5A" w:rsidP="005470C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ávöxtun.</w:t>
            </w:r>
          </w:p>
        </w:tc>
      </w:tr>
      <w:tr w:rsidR="00F70D5A" w:rsidRPr="009C0ABD" w:rsidTr="0098398E">
        <w:trPr>
          <w:trHeight w:val="97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4.11.</w:t>
            </w:r>
          </w:p>
        </w:tc>
        <w:tc>
          <w:tcPr>
            <w:tcW w:w="7380" w:type="dxa"/>
            <w:vAlign w:val="center"/>
          </w:tcPr>
          <w:p w:rsidR="00F70D5A" w:rsidRPr="005470CF" w:rsidRDefault="00F70D5A" w:rsidP="00AC3F9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Fyrirsvar fyrir handhafa skuldabréfa, þ.m.t. upplýsingar um stofnunina sem er í fyrirsvari fyrir fjárfestana og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ákvæði sem gilda um slíkt fyrirsvar. Upplýsingar um hvar almenningur getur haft aðgang að samningum sem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gerðir hafa verið um þessar aðferðir við fyrirsvarið.</w:t>
            </w:r>
          </w:p>
        </w:tc>
      </w:tr>
      <w:tr w:rsidR="00F70D5A" w:rsidRPr="009C0ABD" w:rsidTr="0098398E">
        <w:trPr>
          <w:trHeight w:val="241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4.12.</w:t>
            </w:r>
          </w:p>
        </w:tc>
        <w:tc>
          <w:tcPr>
            <w:tcW w:w="7380" w:type="dxa"/>
            <w:vAlign w:val="center"/>
          </w:tcPr>
          <w:p w:rsidR="00F70D5A" w:rsidRPr="005470CF" w:rsidRDefault="00F70D5A" w:rsidP="00AC3F9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Útskýring á þeim ákvörðunum, heimildum og samþykktum sem lágu til grundvallar stofnun og/eða útgáfu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verðbréfa.</w:t>
            </w:r>
          </w:p>
        </w:tc>
      </w:tr>
      <w:tr w:rsidR="00F70D5A" w:rsidRPr="009C0ABD" w:rsidTr="0098398E">
        <w:trPr>
          <w:trHeight w:val="28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4.13.</w:t>
            </w:r>
          </w:p>
        </w:tc>
        <w:tc>
          <w:tcPr>
            <w:tcW w:w="7380" w:type="dxa"/>
            <w:vAlign w:val="center"/>
          </w:tcPr>
          <w:p w:rsidR="00F70D5A" w:rsidRPr="005470CF" w:rsidRDefault="00F70D5A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Útgáfudagur verðbréfanna.</w:t>
            </w:r>
          </w:p>
        </w:tc>
      </w:tr>
      <w:tr w:rsidR="00F70D5A" w:rsidRPr="009C0ABD" w:rsidTr="0098398E">
        <w:trPr>
          <w:trHeight w:val="28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4.14.</w:t>
            </w:r>
          </w:p>
        </w:tc>
        <w:tc>
          <w:tcPr>
            <w:tcW w:w="7380" w:type="dxa"/>
            <w:vAlign w:val="center"/>
          </w:tcPr>
          <w:p w:rsidR="00F70D5A" w:rsidRPr="005470CF" w:rsidRDefault="00F70D5A" w:rsidP="00CE35E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Lýsing á hvers kyns takmörkunum á frjálsu framsali á verðbréfunum.</w:t>
            </w:r>
          </w:p>
        </w:tc>
      </w:tr>
      <w:tr w:rsidR="00F70D5A" w:rsidRPr="009C0ABD" w:rsidTr="0098398E">
        <w:trPr>
          <w:trHeight w:val="28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</w:t>
            </w:r>
          </w:p>
        </w:tc>
        <w:tc>
          <w:tcPr>
            <w:tcW w:w="7380" w:type="dxa"/>
            <w:vAlign w:val="center"/>
          </w:tcPr>
          <w:p w:rsidR="00F70D5A" w:rsidRPr="005470CF" w:rsidRDefault="00F70D5A" w:rsidP="007310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SKRÁNING Á MARKAÐ OG FYRIRKOMULAG VIÐSKIPTA</w:t>
            </w:r>
          </w:p>
        </w:tc>
      </w:tr>
      <w:tr w:rsidR="00F70D5A" w:rsidRPr="009C0ABD" w:rsidTr="0098398E">
        <w:trPr>
          <w:trHeight w:val="253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5.1.</w:t>
            </w:r>
          </w:p>
        </w:tc>
        <w:tc>
          <w:tcPr>
            <w:tcW w:w="7380" w:type="dxa"/>
            <w:vAlign w:val="center"/>
          </w:tcPr>
          <w:p w:rsidR="00F70D5A" w:rsidRPr="00111131" w:rsidRDefault="00F70D5A" w:rsidP="00AC3F9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markaðinn þar sem verðbréfin verða skráð og sem lýsing hefur verið birt fyrir. Tilgreina skal þá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daga þegar í fyrsta lagi er hægt að skrá </w:t>
            </w: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lastRenderedPageBreak/>
              <w:t>verðbréfin, ef vitað er um þá.</w:t>
            </w:r>
          </w:p>
        </w:tc>
      </w:tr>
      <w:tr w:rsidR="00F70D5A" w:rsidRPr="009C0ABD" w:rsidTr="0098398E">
        <w:trPr>
          <w:trHeight w:val="223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5.2.</w:t>
            </w:r>
          </w:p>
        </w:tc>
        <w:tc>
          <w:tcPr>
            <w:tcW w:w="7380" w:type="dxa"/>
            <w:vAlign w:val="center"/>
          </w:tcPr>
          <w:p w:rsidR="00F70D5A" w:rsidRPr="00407A35" w:rsidRDefault="00F70D5A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i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Nafn og heimilisfang þeirra aðila sem annast greiðslur og vörsluaðila í hverju landi fyrir sig.</w:t>
            </w:r>
          </w:p>
        </w:tc>
      </w:tr>
      <w:tr w:rsidR="00F70D5A" w:rsidRPr="009C0ABD" w:rsidTr="0098398E">
        <w:trPr>
          <w:trHeight w:val="496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6.</w:t>
            </w:r>
          </w:p>
        </w:tc>
        <w:tc>
          <w:tcPr>
            <w:tcW w:w="7380" w:type="dxa"/>
            <w:vAlign w:val="center"/>
          </w:tcPr>
          <w:p w:rsidR="00F70D5A" w:rsidRDefault="00F70D5A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KOSTNAÐUR VEGNA SKRÁNINGAR</w:t>
            </w:r>
          </w:p>
          <w:p w:rsidR="00F70D5A" w:rsidRDefault="00F70D5A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</w:p>
          <w:p w:rsidR="00F70D5A" w:rsidRPr="00AC3F9B" w:rsidRDefault="00F70D5A" w:rsidP="001111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AC3F9B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Áætlaður heildarkostnaður vegna skráningarinnar.</w:t>
            </w:r>
          </w:p>
        </w:tc>
      </w:tr>
      <w:tr w:rsidR="00F70D5A" w:rsidRPr="009C0ABD" w:rsidTr="0098398E">
        <w:trPr>
          <w:trHeight w:val="28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7.</w:t>
            </w:r>
          </w:p>
        </w:tc>
        <w:tc>
          <w:tcPr>
            <w:tcW w:w="7380" w:type="dxa"/>
            <w:vAlign w:val="center"/>
          </w:tcPr>
          <w:p w:rsidR="00F70D5A" w:rsidRPr="00161EA2" w:rsidRDefault="00F70D5A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407A35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VIÐBÓTARUPPLÝSINGAR</w:t>
            </w:r>
          </w:p>
        </w:tc>
      </w:tr>
      <w:tr w:rsidR="00F70D5A" w:rsidRPr="009C0ABD" w:rsidTr="0098398E">
        <w:trPr>
          <w:trHeight w:val="28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7.1.</w:t>
            </w:r>
          </w:p>
        </w:tc>
        <w:tc>
          <w:tcPr>
            <w:tcW w:w="7380" w:type="dxa"/>
            <w:vAlign w:val="center"/>
          </w:tcPr>
          <w:p w:rsidR="00F70D5A" w:rsidRPr="00111131" w:rsidRDefault="00F70D5A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D9492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Ef getið er ráðgjafa í verðbréfalýsingunni skal skýra frá hvaða hlutverki þeir hafa gegnt.</w:t>
            </w:r>
          </w:p>
        </w:tc>
      </w:tr>
      <w:tr w:rsidR="00F70D5A" w:rsidRPr="009C0ABD" w:rsidTr="0098398E">
        <w:trPr>
          <w:trHeight w:val="333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7.2.</w:t>
            </w:r>
          </w:p>
        </w:tc>
        <w:tc>
          <w:tcPr>
            <w:tcW w:w="7380" w:type="dxa"/>
            <w:vAlign w:val="center"/>
          </w:tcPr>
          <w:p w:rsidR="00F70D5A" w:rsidRDefault="00F70D5A" w:rsidP="00D9492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D9492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 um önnur gögn í verðbréfalýsingunni sem endurskoðendur hafa endurskoðað eða kannað og ef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D9492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endurskoðendur hafa lagt fram skýrslu.</w:t>
            </w:r>
          </w:p>
          <w:p w:rsidR="00F70D5A" w:rsidRPr="00D94925" w:rsidRDefault="00F70D5A" w:rsidP="00D9492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</w:p>
          <w:p w:rsidR="00F70D5A" w:rsidRPr="00111131" w:rsidRDefault="00F70D5A" w:rsidP="00D9492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D9492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Endursögn skýrslunnar eða, með samþykki lögbærs yfirvalds, samantekt á henni.</w:t>
            </w:r>
          </w:p>
        </w:tc>
      </w:tr>
      <w:tr w:rsidR="00F70D5A" w:rsidRPr="009C0ABD" w:rsidTr="0098398E">
        <w:trPr>
          <w:trHeight w:val="333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7.3.</w:t>
            </w:r>
          </w:p>
        </w:tc>
        <w:tc>
          <w:tcPr>
            <w:tcW w:w="7380" w:type="dxa"/>
            <w:vAlign w:val="center"/>
          </w:tcPr>
          <w:p w:rsidR="00F70D5A" w:rsidRPr="00111131" w:rsidRDefault="00F70D5A" w:rsidP="00D9492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D9492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Ef verðbréfalýsing hefur að geyma greinargerð eða skýrslu frá sérfræðingi skal tilgreina nafn þessa einstaklings,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D9492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heimilisfang vinnustaðar, menntun hans og hæfi og hvort hann hafi verulegra hagsmuna að gæta gagnvart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D9492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útgefandanum. Ef skýrslan er samin að beiðni útgefanda skal gefa yfirlýsingu um að slík yfirlýsing eða skýrsla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D9492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fylgi, á hvaða formi og í hvaða samhengi hún er ásamt samþykki þess einstaklings sem hefur heimilað efni þessa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D9492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hluta verðbréfalýsingarinnar.</w:t>
            </w:r>
          </w:p>
        </w:tc>
      </w:tr>
      <w:tr w:rsidR="00F70D5A" w:rsidRPr="009C0ABD" w:rsidTr="0098398E">
        <w:trPr>
          <w:trHeight w:val="333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7.4.</w:t>
            </w:r>
          </w:p>
        </w:tc>
        <w:tc>
          <w:tcPr>
            <w:tcW w:w="7380" w:type="dxa"/>
            <w:vAlign w:val="center"/>
          </w:tcPr>
          <w:p w:rsidR="00F70D5A" w:rsidRPr="008844A6" w:rsidRDefault="00F70D5A" w:rsidP="00D9492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D9492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Ef upplýsingar eru fengnar frá þriðja aðila skal útgefandi, að svo miklu leyti sem honum er kunnugt um og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D9492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honum er unnt, út frá þeim upplýsingum sem þriðji aðilinn hefur birt, láta í té staðfestingu þess efnis að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D9492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upplýsingarnar séu réttar og að engum staðreyndum sé sleppt sem geri upplýsingarnar ónákvæmar eða</w:t>
            </w:r>
            <w:r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 xml:space="preserve"> </w:t>
            </w:r>
            <w:r w:rsidRPr="00D9492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misvísandi. Þar að auki skal tilgreina uppruna upplýsinganna.</w:t>
            </w:r>
          </w:p>
        </w:tc>
      </w:tr>
      <w:tr w:rsidR="00F70D5A" w:rsidRPr="009C0ABD" w:rsidTr="0098398E">
        <w:trPr>
          <w:trHeight w:val="28"/>
        </w:trPr>
        <w:tc>
          <w:tcPr>
            <w:tcW w:w="1101" w:type="dxa"/>
          </w:tcPr>
          <w:p w:rsidR="00F70D5A" w:rsidRPr="009C0ABD" w:rsidRDefault="00F70D5A" w:rsidP="00A12814">
            <w:pPr>
              <w:rPr>
                <w:lang w:val="is-IS"/>
              </w:rPr>
            </w:pPr>
          </w:p>
        </w:tc>
        <w:tc>
          <w:tcPr>
            <w:tcW w:w="1167" w:type="dxa"/>
          </w:tcPr>
          <w:p w:rsidR="00F70D5A" w:rsidRDefault="00F70D5A" w:rsidP="00A12814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7.5.</w:t>
            </w:r>
          </w:p>
        </w:tc>
        <w:tc>
          <w:tcPr>
            <w:tcW w:w="7380" w:type="dxa"/>
            <w:vAlign w:val="center"/>
          </w:tcPr>
          <w:p w:rsidR="00F70D5A" w:rsidRPr="008844A6" w:rsidRDefault="00F70D5A" w:rsidP="00407A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</w:pPr>
            <w:r w:rsidRPr="00D94925">
              <w:rPr>
                <w:rFonts w:ascii="TimesNewRoman,Bold" w:hAnsi="TimesNewRoman,Bold" w:cs="TimesNewRoman,Bold"/>
                <w:bCs/>
                <w:sz w:val="22"/>
                <w:szCs w:val="22"/>
                <w:lang w:val="is-IS" w:eastAsia="is-IS"/>
              </w:rPr>
              <w:t>Lánshæfismat útgefanda eða skuldabréfa hans ef útgefandinn hefur farið fram á matið eða tekið þátt í matsferlinu.</w:t>
            </w:r>
          </w:p>
        </w:tc>
      </w:tr>
    </w:tbl>
    <w:p w:rsidR="001C48A2" w:rsidRPr="00A12814" w:rsidRDefault="001C48A2" w:rsidP="00A12814">
      <w:pPr>
        <w:ind w:left="-180" w:firstLine="180"/>
        <w:rPr>
          <w:lang w:val="is-IS"/>
        </w:rPr>
      </w:pPr>
    </w:p>
    <w:sectPr w:rsidR="001C48A2" w:rsidRPr="00A12814" w:rsidSect="007A3D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0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9B" w:rsidRDefault="00AC3F9B">
      <w:r>
        <w:separator/>
      </w:r>
    </w:p>
  </w:endnote>
  <w:endnote w:type="continuationSeparator" w:id="0">
    <w:p w:rsidR="00AC3F9B" w:rsidRDefault="00AC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9B" w:rsidRDefault="00AC3F9B" w:rsidP="007B7AF3">
    <w:pPr>
      <w:pStyle w:val="Footer"/>
      <w:jc w:val="center"/>
      <w:rPr>
        <w:sz w:val="20"/>
        <w:szCs w:val="20"/>
      </w:rPr>
    </w:pPr>
  </w:p>
  <w:p w:rsidR="00AC3F9B" w:rsidRPr="007B7AF3" w:rsidRDefault="00AC3F9B" w:rsidP="007B7AF3">
    <w:pPr>
      <w:pStyle w:val="Footer"/>
      <w:jc w:val="center"/>
      <w:rPr>
        <w:sz w:val="20"/>
        <w:szCs w:val="20"/>
      </w:rPr>
    </w:pPr>
    <w:r w:rsidRPr="007B7AF3">
      <w:rPr>
        <w:sz w:val="20"/>
        <w:szCs w:val="20"/>
      </w:rPr>
      <w:fldChar w:fldCharType="begin"/>
    </w:r>
    <w:r w:rsidRPr="007B7AF3">
      <w:rPr>
        <w:sz w:val="20"/>
        <w:szCs w:val="20"/>
      </w:rPr>
      <w:instrText xml:space="preserve"> PAGE </w:instrText>
    </w:r>
    <w:r w:rsidRPr="007B7AF3">
      <w:rPr>
        <w:sz w:val="20"/>
        <w:szCs w:val="20"/>
      </w:rPr>
      <w:fldChar w:fldCharType="separate"/>
    </w:r>
    <w:r w:rsidR="00394B75">
      <w:rPr>
        <w:noProof/>
        <w:sz w:val="20"/>
        <w:szCs w:val="20"/>
      </w:rPr>
      <w:t>1</w:t>
    </w:r>
    <w:r w:rsidRPr="007B7AF3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9B" w:rsidRDefault="00AC3F9B" w:rsidP="007B7AF3">
    <w:pPr>
      <w:pStyle w:val="Footer"/>
      <w:jc w:val="center"/>
    </w:pPr>
    <w:r w:rsidRPr="007B7AF3">
      <w:rPr>
        <w:sz w:val="20"/>
        <w:szCs w:val="20"/>
      </w:rPr>
      <w:fldChar w:fldCharType="begin"/>
    </w:r>
    <w:r w:rsidRPr="007B7AF3">
      <w:rPr>
        <w:sz w:val="20"/>
        <w:szCs w:val="20"/>
      </w:rPr>
      <w:instrText xml:space="preserve"> PAGE </w:instrText>
    </w:r>
    <w:r w:rsidRPr="007B7AF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7B7AF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9B" w:rsidRDefault="00AC3F9B">
      <w:r>
        <w:separator/>
      </w:r>
    </w:p>
  </w:footnote>
  <w:footnote w:type="continuationSeparator" w:id="0">
    <w:p w:rsidR="00AC3F9B" w:rsidRDefault="00AC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9B" w:rsidRPr="007A3D9E" w:rsidRDefault="00AC3F9B" w:rsidP="00292001">
    <w:pPr>
      <w:pStyle w:val="Header"/>
      <w:tabs>
        <w:tab w:val="clear" w:pos="9072"/>
        <w:tab w:val="right" w:pos="9214"/>
      </w:tabs>
      <w:rPr>
        <w:sz w:val="16"/>
        <w:szCs w:val="16"/>
        <w:lang w:val="is-IS"/>
      </w:rPr>
    </w:pPr>
    <w:r>
      <w:rPr>
        <w:noProof/>
        <w:lang w:val="is-IS" w:eastAsia="is-IS"/>
      </w:rPr>
      <w:drawing>
        <wp:anchor distT="0" distB="0" distL="114300" distR="114300" simplePos="0" relativeHeight="251659264" behindDoc="0" locked="1" layoutInCell="1" allowOverlap="1" wp14:anchorId="4FBFB906" wp14:editId="092A05BB">
          <wp:simplePos x="0" y="0"/>
          <wp:positionH relativeFrom="column">
            <wp:posOffset>2195195</wp:posOffset>
          </wp:positionH>
          <wp:positionV relativeFrom="paragraph">
            <wp:posOffset>-58420</wp:posOffset>
          </wp:positionV>
          <wp:extent cx="1586865" cy="547370"/>
          <wp:effectExtent l="0" t="0" r="0" b="508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F31">
      <w:rPr>
        <w:lang w:val="is-IS"/>
      </w:rPr>
      <w:t>(Málsnúmer)</w:t>
    </w:r>
    <w:r>
      <w:rPr>
        <w:sz w:val="16"/>
        <w:szCs w:val="16"/>
        <w:lang w:val="is-IS"/>
      </w:rPr>
      <w:tab/>
    </w:r>
    <w:r>
      <w:rPr>
        <w:sz w:val="16"/>
        <w:szCs w:val="16"/>
        <w:lang w:val="is-IS"/>
      </w:rPr>
      <w:tab/>
      <w:t>XIII</w:t>
    </w:r>
    <w:r w:rsidRPr="007A3D9E">
      <w:rPr>
        <w:sz w:val="16"/>
        <w:szCs w:val="16"/>
        <w:lang w:val="is-IS"/>
      </w:rPr>
      <w:t>. Viðauki</w:t>
    </w:r>
  </w:p>
  <w:p w:rsidR="00AC3F9B" w:rsidRPr="007A3D9E" w:rsidRDefault="00AC3F9B" w:rsidP="00C00631">
    <w:pPr>
      <w:pStyle w:val="Header"/>
      <w:rPr>
        <w:sz w:val="16"/>
        <w:szCs w:val="16"/>
        <w:lang w:val="is-IS"/>
      </w:rPr>
    </w:pPr>
    <w:r>
      <w:rPr>
        <w:sz w:val="16"/>
        <w:szCs w:val="16"/>
        <w:lang w:val="is-IS"/>
      </w:rPr>
      <w:t>Verðbréfalýsing</w:t>
    </w:r>
    <w:r w:rsidRPr="007A3D9E">
      <w:rPr>
        <w:sz w:val="16"/>
        <w:szCs w:val="16"/>
        <w:lang w:val="is-IS"/>
      </w:rPr>
      <w:t>, X. drög</w:t>
    </w:r>
  </w:p>
  <w:p w:rsidR="00AC3F9B" w:rsidRPr="007A3D9E" w:rsidRDefault="00AC3F9B" w:rsidP="00C00631">
    <w:pPr>
      <w:pStyle w:val="Header"/>
      <w:rPr>
        <w:sz w:val="16"/>
        <w:szCs w:val="16"/>
        <w:lang w:val="is-IS"/>
      </w:rPr>
    </w:pPr>
    <w:r w:rsidRPr="007A3D9E">
      <w:rPr>
        <w:sz w:val="16"/>
        <w:szCs w:val="16"/>
        <w:lang w:val="is-IS"/>
      </w:rPr>
      <w:t>dags XX.XX.XXXX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9B" w:rsidRPr="002B0E36" w:rsidRDefault="00AC3F9B" w:rsidP="002B0E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E2D"/>
    <w:multiLevelType w:val="hybridMultilevel"/>
    <w:tmpl w:val="9674845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57E"/>
    <w:multiLevelType w:val="hybridMultilevel"/>
    <w:tmpl w:val="20269A0A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7B89"/>
    <w:multiLevelType w:val="hybridMultilevel"/>
    <w:tmpl w:val="13BA029C"/>
    <w:lvl w:ilvl="0" w:tplc="81983A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50C"/>
    <w:multiLevelType w:val="hybridMultilevel"/>
    <w:tmpl w:val="C2A8283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1F1F"/>
    <w:multiLevelType w:val="hybridMultilevel"/>
    <w:tmpl w:val="370AE03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3A48"/>
    <w:multiLevelType w:val="hybridMultilevel"/>
    <w:tmpl w:val="396AF5B0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7F5F"/>
    <w:multiLevelType w:val="hybridMultilevel"/>
    <w:tmpl w:val="6D70CEE6"/>
    <w:lvl w:ilvl="0" w:tplc="3410A410">
      <w:start w:val="3"/>
      <w:numFmt w:val="bullet"/>
      <w:lvlText w:val="–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453E6"/>
    <w:multiLevelType w:val="hybridMultilevel"/>
    <w:tmpl w:val="B35A2306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01E81"/>
    <w:multiLevelType w:val="hybridMultilevel"/>
    <w:tmpl w:val="1528E102"/>
    <w:lvl w:ilvl="0" w:tplc="C7C0A804">
      <w:numFmt w:val="bullet"/>
      <w:lvlText w:val="-"/>
      <w:lvlJc w:val="left"/>
      <w:pPr>
        <w:ind w:left="720" w:hanging="360"/>
      </w:pPr>
      <w:rPr>
        <w:rFonts w:ascii="TimesNewRoman,Bold" w:eastAsia="Times New Roman" w:hAnsi="TimesNewRoman,Bold" w:cs="TimesNewRoman,Bold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379A4"/>
    <w:multiLevelType w:val="hybridMultilevel"/>
    <w:tmpl w:val="3A92846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17B5C"/>
    <w:multiLevelType w:val="hybridMultilevel"/>
    <w:tmpl w:val="2E04DDCA"/>
    <w:lvl w:ilvl="0" w:tplc="418E5AEE">
      <w:start w:val="2"/>
      <w:numFmt w:val="bullet"/>
      <w:lvlText w:val="–"/>
      <w:lvlJc w:val="left"/>
      <w:pPr>
        <w:ind w:left="720" w:hanging="360"/>
      </w:pPr>
      <w:rPr>
        <w:rFonts w:ascii="TimesNewRoman,Bold" w:eastAsia="Times New Roman" w:hAnsi="TimesNewRoman,Bold" w:cs="TimesNewRoman,Bold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673E6"/>
    <w:multiLevelType w:val="hybridMultilevel"/>
    <w:tmpl w:val="AE50BAC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05C2"/>
    <w:multiLevelType w:val="hybridMultilevel"/>
    <w:tmpl w:val="85EC32E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25224"/>
    <w:multiLevelType w:val="hybridMultilevel"/>
    <w:tmpl w:val="F7C28C5E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57E1E"/>
    <w:multiLevelType w:val="hybridMultilevel"/>
    <w:tmpl w:val="6D94699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5226B"/>
    <w:multiLevelType w:val="hybridMultilevel"/>
    <w:tmpl w:val="4086B14A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1D94"/>
    <w:multiLevelType w:val="hybridMultilevel"/>
    <w:tmpl w:val="9A8EE90C"/>
    <w:lvl w:ilvl="0" w:tplc="B862F8E8">
      <w:numFmt w:val="bullet"/>
      <w:lvlText w:val="-"/>
      <w:lvlJc w:val="left"/>
      <w:pPr>
        <w:ind w:left="720" w:hanging="360"/>
      </w:pPr>
      <w:rPr>
        <w:rFonts w:ascii="TimesNewRoman,Bold" w:eastAsia="Times New Roman" w:hAnsi="TimesNewRoman,Bold" w:cs="TimesNewRoman,Bold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F04DE"/>
    <w:multiLevelType w:val="hybridMultilevel"/>
    <w:tmpl w:val="EB20CF58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553A6"/>
    <w:multiLevelType w:val="hybridMultilevel"/>
    <w:tmpl w:val="BA1C45E8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D625F"/>
    <w:multiLevelType w:val="hybridMultilevel"/>
    <w:tmpl w:val="26CA928E"/>
    <w:lvl w:ilvl="0" w:tplc="14CAD6F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1492D"/>
    <w:multiLevelType w:val="hybridMultilevel"/>
    <w:tmpl w:val="22B4C170"/>
    <w:lvl w:ilvl="0" w:tplc="3410A410">
      <w:start w:val="3"/>
      <w:numFmt w:val="bullet"/>
      <w:lvlText w:val="–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66FB9"/>
    <w:multiLevelType w:val="hybridMultilevel"/>
    <w:tmpl w:val="B316C31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74C64"/>
    <w:multiLevelType w:val="hybridMultilevel"/>
    <w:tmpl w:val="DBCCA5EA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50E17"/>
    <w:multiLevelType w:val="hybridMultilevel"/>
    <w:tmpl w:val="87B84330"/>
    <w:lvl w:ilvl="0" w:tplc="418E5AEE">
      <w:start w:val="2"/>
      <w:numFmt w:val="bullet"/>
      <w:lvlText w:val="–"/>
      <w:lvlJc w:val="left"/>
      <w:pPr>
        <w:ind w:left="720" w:hanging="360"/>
      </w:pPr>
      <w:rPr>
        <w:rFonts w:ascii="TimesNewRoman,Bold" w:eastAsia="Times New Roman" w:hAnsi="TimesNewRoman,Bold" w:cs="TimesNewRoman,Bold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C3053"/>
    <w:multiLevelType w:val="hybridMultilevel"/>
    <w:tmpl w:val="201412B4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76392"/>
    <w:multiLevelType w:val="hybridMultilevel"/>
    <w:tmpl w:val="62049D5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7430F"/>
    <w:multiLevelType w:val="hybridMultilevel"/>
    <w:tmpl w:val="A69649EE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72CFE"/>
    <w:multiLevelType w:val="hybridMultilevel"/>
    <w:tmpl w:val="9F74C29C"/>
    <w:lvl w:ilvl="0" w:tplc="418E5AEE">
      <w:start w:val="2"/>
      <w:numFmt w:val="bullet"/>
      <w:lvlText w:val="–"/>
      <w:lvlJc w:val="left"/>
      <w:pPr>
        <w:ind w:left="720" w:hanging="360"/>
      </w:pPr>
      <w:rPr>
        <w:rFonts w:ascii="TimesNewRoman,Bold" w:eastAsia="Times New Roman" w:hAnsi="TimesNewRoman,Bold" w:cs="TimesNewRoman,Bold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75E4B"/>
    <w:multiLevelType w:val="hybridMultilevel"/>
    <w:tmpl w:val="425894F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737AE"/>
    <w:multiLevelType w:val="hybridMultilevel"/>
    <w:tmpl w:val="76CE3BE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41FDD"/>
    <w:multiLevelType w:val="hybridMultilevel"/>
    <w:tmpl w:val="B444080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2698C"/>
    <w:multiLevelType w:val="hybridMultilevel"/>
    <w:tmpl w:val="D64CA74A"/>
    <w:lvl w:ilvl="0" w:tplc="3410A410">
      <w:start w:val="3"/>
      <w:numFmt w:val="bullet"/>
      <w:lvlText w:val="–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143EC"/>
    <w:multiLevelType w:val="hybridMultilevel"/>
    <w:tmpl w:val="1008878C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7365F"/>
    <w:multiLevelType w:val="hybridMultilevel"/>
    <w:tmpl w:val="269EF44C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D7A42"/>
    <w:multiLevelType w:val="hybridMultilevel"/>
    <w:tmpl w:val="1FE4E8D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B57FD"/>
    <w:multiLevelType w:val="hybridMultilevel"/>
    <w:tmpl w:val="2C3EB76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833AC"/>
    <w:multiLevelType w:val="hybridMultilevel"/>
    <w:tmpl w:val="A858D90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F6900"/>
    <w:multiLevelType w:val="hybridMultilevel"/>
    <w:tmpl w:val="9E20C5E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87298"/>
    <w:multiLevelType w:val="hybridMultilevel"/>
    <w:tmpl w:val="29145F90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F272B"/>
    <w:multiLevelType w:val="hybridMultilevel"/>
    <w:tmpl w:val="918C0D3A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30490"/>
    <w:multiLevelType w:val="hybridMultilevel"/>
    <w:tmpl w:val="70306858"/>
    <w:lvl w:ilvl="0" w:tplc="3410A410">
      <w:start w:val="3"/>
      <w:numFmt w:val="bullet"/>
      <w:lvlText w:val="–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F478B7"/>
    <w:multiLevelType w:val="hybridMultilevel"/>
    <w:tmpl w:val="EF924336"/>
    <w:lvl w:ilvl="0" w:tplc="418E5AEE">
      <w:start w:val="2"/>
      <w:numFmt w:val="bullet"/>
      <w:lvlText w:val="–"/>
      <w:lvlJc w:val="left"/>
      <w:pPr>
        <w:ind w:left="720" w:hanging="360"/>
      </w:pPr>
      <w:rPr>
        <w:rFonts w:ascii="TimesNewRoman,Bold" w:eastAsia="Times New Roman" w:hAnsi="TimesNewRoman,Bold" w:cs="TimesNewRoman,Bold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B23F8"/>
    <w:multiLevelType w:val="hybridMultilevel"/>
    <w:tmpl w:val="1CBCD8A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72332"/>
    <w:multiLevelType w:val="hybridMultilevel"/>
    <w:tmpl w:val="A40E25C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53704"/>
    <w:multiLevelType w:val="hybridMultilevel"/>
    <w:tmpl w:val="2F52B3A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7714E"/>
    <w:multiLevelType w:val="hybridMultilevel"/>
    <w:tmpl w:val="2F7E65D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12"/>
  </w:num>
  <w:num w:numId="4">
    <w:abstractNumId w:val="5"/>
  </w:num>
  <w:num w:numId="5">
    <w:abstractNumId w:val="30"/>
  </w:num>
  <w:num w:numId="6">
    <w:abstractNumId w:val="6"/>
  </w:num>
  <w:num w:numId="7">
    <w:abstractNumId w:val="19"/>
  </w:num>
  <w:num w:numId="8">
    <w:abstractNumId w:val="20"/>
  </w:num>
  <w:num w:numId="9">
    <w:abstractNumId w:val="31"/>
  </w:num>
  <w:num w:numId="10">
    <w:abstractNumId w:val="2"/>
  </w:num>
  <w:num w:numId="11">
    <w:abstractNumId w:val="3"/>
  </w:num>
  <w:num w:numId="12">
    <w:abstractNumId w:val="17"/>
  </w:num>
  <w:num w:numId="13">
    <w:abstractNumId w:val="43"/>
  </w:num>
  <w:num w:numId="14">
    <w:abstractNumId w:val="42"/>
  </w:num>
  <w:num w:numId="15">
    <w:abstractNumId w:val="37"/>
  </w:num>
  <w:num w:numId="16">
    <w:abstractNumId w:val="13"/>
  </w:num>
  <w:num w:numId="17">
    <w:abstractNumId w:val="29"/>
  </w:num>
  <w:num w:numId="18">
    <w:abstractNumId w:val="26"/>
  </w:num>
  <w:num w:numId="19">
    <w:abstractNumId w:val="35"/>
  </w:num>
  <w:num w:numId="20">
    <w:abstractNumId w:val="25"/>
  </w:num>
  <w:num w:numId="21">
    <w:abstractNumId w:val="14"/>
  </w:num>
  <w:num w:numId="22">
    <w:abstractNumId w:val="33"/>
  </w:num>
  <w:num w:numId="23">
    <w:abstractNumId w:val="1"/>
  </w:num>
  <w:num w:numId="24">
    <w:abstractNumId w:val="24"/>
  </w:num>
  <w:num w:numId="25">
    <w:abstractNumId w:val="36"/>
  </w:num>
  <w:num w:numId="26">
    <w:abstractNumId w:val="28"/>
  </w:num>
  <w:num w:numId="27">
    <w:abstractNumId w:val="4"/>
  </w:num>
  <w:num w:numId="28">
    <w:abstractNumId w:val="22"/>
  </w:num>
  <w:num w:numId="29">
    <w:abstractNumId w:val="11"/>
  </w:num>
  <w:num w:numId="30">
    <w:abstractNumId w:val="15"/>
  </w:num>
  <w:num w:numId="31">
    <w:abstractNumId w:val="0"/>
  </w:num>
  <w:num w:numId="32">
    <w:abstractNumId w:val="32"/>
  </w:num>
  <w:num w:numId="33">
    <w:abstractNumId w:val="45"/>
  </w:num>
  <w:num w:numId="34">
    <w:abstractNumId w:val="21"/>
  </w:num>
  <w:num w:numId="35">
    <w:abstractNumId w:val="34"/>
  </w:num>
  <w:num w:numId="36">
    <w:abstractNumId w:val="44"/>
  </w:num>
  <w:num w:numId="37">
    <w:abstractNumId w:val="7"/>
  </w:num>
  <w:num w:numId="38">
    <w:abstractNumId w:val="39"/>
  </w:num>
  <w:num w:numId="39">
    <w:abstractNumId w:val="40"/>
  </w:num>
  <w:num w:numId="40">
    <w:abstractNumId w:val="41"/>
  </w:num>
  <w:num w:numId="41">
    <w:abstractNumId w:val="18"/>
  </w:num>
  <w:num w:numId="42">
    <w:abstractNumId w:val="10"/>
  </w:num>
  <w:num w:numId="43">
    <w:abstractNumId w:val="23"/>
  </w:num>
  <w:num w:numId="44">
    <w:abstractNumId w:val="27"/>
  </w:num>
  <w:num w:numId="45">
    <w:abstractNumId w:val="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4"/>
    <w:rsid w:val="00007C93"/>
    <w:rsid w:val="00036D2A"/>
    <w:rsid w:val="00052A6B"/>
    <w:rsid w:val="000A34D8"/>
    <w:rsid w:val="000F7090"/>
    <w:rsid w:val="000F75B4"/>
    <w:rsid w:val="00111131"/>
    <w:rsid w:val="001137B0"/>
    <w:rsid w:val="00120422"/>
    <w:rsid w:val="00126874"/>
    <w:rsid w:val="001349AB"/>
    <w:rsid w:val="00161EA2"/>
    <w:rsid w:val="001A10A9"/>
    <w:rsid w:val="001A17F0"/>
    <w:rsid w:val="001C48A2"/>
    <w:rsid w:val="001D2568"/>
    <w:rsid w:val="00221654"/>
    <w:rsid w:val="00227162"/>
    <w:rsid w:val="00230210"/>
    <w:rsid w:val="00245485"/>
    <w:rsid w:val="002735BC"/>
    <w:rsid w:val="00292001"/>
    <w:rsid w:val="002B0E36"/>
    <w:rsid w:val="0030196B"/>
    <w:rsid w:val="003175D5"/>
    <w:rsid w:val="00322D04"/>
    <w:rsid w:val="0032318D"/>
    <w:rsid w:val="00334FE6"/>
    <w:rsid w:val="003665B6"/>
    <w:rsid w:val="00394B75"/>
    <w:rsid w:val="003B6EE4"/>
    <w:rsid w:val="00407A35"/>
    <w:rsid w:val="00435716"/>
    <w:rsid w:val="004562C7"/>
    <w:rsid w:val="0048355D"/>
    <w:rsid w:val="00486EEB"/>
    <w:rsid w:val="005058E7"/>
    <w:rsid w:val="005470CF"/>
    <w:rsid w:val="00562EE2"/>
    <w:rsid w:val="0057427A"/>
    <w:rsid w:val="00590EEB"/>
    <w:rsid w:val="005B39EF"/>
    <w:rsid w:val="005D1D79"/>
    <w:rsid w:val="005D6763"/>
    <w:rsid w:val="00612D48"/>
    <w:rsid w:val="00620CA6"/>
    <w:rsid w:val="00626012"/>
    <w:rsid w:val="006C38A4"/>
    <w:rsid w:val="006D30AF"/>
    <w:rsid w:val="006F1AA6"/>
    <w:rsid w:val="00731035"/>
    <w:rsid w:val="00760B9F"/>
    <w:rsid w:val="007952D1"/>
    <w:rsid w:val="007A1364"/>
    <w:rsid w:val="007A3D9E"/>
    <w:rsid w:val="007A643C"/>
    <w:rsid w:val="007A7FC7"/>
    <w:rsid w:val="007B7AF3"/>
    <w:rsid w:val="00815DA0"/>
    <w:rsid w:val="00832D16"/>
    <w:rsid w:val="0084135F"/>
    <w:rsid w:val="00841558"/>
    <w:rsid w:val="008548E5"/>
    <w:rsid w:val="00861AF4"/>
    <w:rsid w:val="00862F31"/>
    <w:rsid w:val="008844A6"/>
    <w:rsid w:val="008969AD"/>
    <w:rsid w:val="008A10DA"/>
    <w:rsid w:val="008A207A"/>
    <w:rsid w:val="008A365F"/>
    <w:rsid w:val="008F5D1B"/>
    <w:rsid w:val="009057BA"/>
    <w:rsid w:val="009247E4"/>
    <w:rsid w:val="00925C31"/>
    <w:rsid w:val="009429D3"/>
    <w:rsid w:val="00956A8D"/>
    <w:rsid w:val="0096495E"/>
    <w:rsid w:val="0098398E"/>
    <w:rsid w:val="009A4A8B"/>
    <w:rsid w:val="009C0ABD"/>
    <w:rsid w:val="009D3138"/>
    <w:rsid w:val="009F3FB6"/>
    <w:rsid w:val="00A12814"/>
    <w:rsid w:val="00A21FFA"/>
    <w:rsid w:val="00A27F98"/>
    <w:rsid w:val="00A50B13"/>
    <w:rsid w:val="00A61C67"/>
    <w:rsid w:val="00A8391C"/>
    <w:rsid w:val="00A91952"/>
    <w:rsid w:val="00AC3F9B"/>
    <w:rsid w:val="00AE10F1"/>
    <w:rsid w:val="00B5708E"/>
    <w:rsid w:val="00B73895"/>
    <w:rsid w:val="00BA1705"/>
    <w:rsid w:val="00BA3CA0"/>
    <w:rsid w:val="00BD75B7"/>
    <w:rsid w:val="00C00631"/>
    <w:rsid w:val="00C03E98"/>
    <w:rsid w:val="00C11235"/>
    <w:rsid w:val="00C25898"/>
    <w:rsid w:val="00C26FB8"/>
    <w:rsid w:val="00C83FBB"/>
    <w:rsid w:val="00C906FD"/>
    <w:rsid w:val="00C91AE9"/>
    <w:rsid w:val="00C97109"/>
    <w:rsid w:val="00CC2770"/>
    <w:rsid w:val="00CE35E2"/>
    <w:rsid w:val="00D12D59"/>
    <w:rsid w:val="00D152D6"/>
    <w:rsid w:val="00D23CF1"/>
    <w:rsid w:val="00D94925"/>
    <w:rsid w:val="00DA6307"/>
    <w:rsid w:val="00DD7BCE"/>
    <w:rsid w:val="00E241ED"/>
    <w:rsid w:val="00E2426E"/>
    <w:rsid w:val="00E36869"/>
    <w:rsid w:val="00E45794"/>
    <w:rsid w:val="00E501B1"/>
    <w:rsid w:val="00E640FD"/>
    <w:rsid w:val="00E80D4B"/>
    <w:rsid w:val="00EC1B45"/>
    <w:rsid w:val="00F207F2"/>
    <w:rsid w:val="00F2171A"/>
    <w:rsid w:val="00F31A29"/>
    <w:rsid w:val="00F70D5A"/>
    <w:rsid w:val="00FD06D0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81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81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1281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C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26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81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81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1281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C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26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EA98-56D2-4CC2-B26F-B5379A5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922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Fjármálaeftirlitið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cp:lastModifiedBy>Greipur Þ. Júlíusson</cp:lastModifiedBy>
  <cp:revision>3</cp:revision>
  <cp:lastPrinted>2011-12-16T14:59:00Z</cp:lastPrinted>
  <dcterms:created xsi:type="dcterms:W3CDTF">2011-12-22T10:50:00Z</dcterms:created>
  <dcterms:modified xsi:type="dcterms:W3CDTF">2013-11-06T08:34:00Z</dcterms:modified>
</cp:coreProperties>
</file>