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36" w:rsidRDefault="002B0E36" w:rsidP="00A12814">
      <w:pPr>
        <w:rPr>
          <w:b/>
          <w:sz w:val="20"/>
          <w:szCs w:val="20"/>
          <w:lang w:val="is-IS"/>
        </w:rPr>
      </w:pPr>
    </w:p>
    <w:p w:rsidR="00A12814" w:rsidRPr="00E875C6" w:rsidRDefault="00161EA2" w:rsidP="00A12814">
      <w:pPr>
        <w:rPr>
          <w:b/>
          <w:sz w:val="22"/>
          <w:szCs w:val="22"/>
          <w:lang w:val="is-IS" w:eastAsia="en-US"/>
        </w:rPr>
      </w:pPr>
      <w:r w:rsidRPr="00E875C6">
        <w:rPr>
          <w:b/>
          <w:sz w:val="22"/>
          <w:szCs w:val="22"/>
          <w:lang w:val="is-IS"/>
        </w:rPr>
        <w:t>X</w:t>
      </w:r>
      <w:r w:rsidR="005B39EF" w:rsidRPr="00E875C6">
        <w:rPr>
          <w:b/>
          <w:sz w:val="22"/>
          <w:szCs w:val="22"/>
          <w:lang w:val="is-IS"/>
        </w:rPr>
        <w:t>I</w:t>
      </w:r>
      <w:r w:rsidRPr="00E875C6">
        <w:rPr>
          <w:b/>
          <w:sz w:val="22"/>
          <w:szCs w:val="22"/>
          <w:lang w:val="is-IS"/>
        </w:rPr>
        <w:t>I</w:t>
      </w:r>
      <w:r w:rsidR="00A12814" w:rsidRPr="00E875C6">
        <w:rPr>
          <w:b/>
          <w:sz w:val="22"/>
          <w:szCs w:val="22"/>
          <w:lang w:val="is-IS"/>
        </w:rPr>
        <w:t>. VIÐAUKI – REGLUGERÐ FRAMKVÆMDASTJÓRNARINNAR (EB) nr. 809/2004 frá 29. apríl 2004</w:t>
      </w:r>
    </w:p>
    <w:p w:rsidR="00A12814" w:rsidRPr="00E875C6" w:rsidRDefault="00A12814" w:rsidP="00A12814">
      <w:pPr>
        <w:ind w:left="720"/>
        <w:rPr>
          <w:b/>
          <w:color w:val="000000"/>
          <w:sz w:val="22"/>
          <w:szCs w:val="22"/>
          <w:lang w:val="is-IS" w:eastAsia="is-IS"/>
        </w:rPr>
      </w:pPr>
    </w:p>
    <w:p w:rsidR="00A12814" w:rsidRPr="00E875C6" w:rsidRDefault="00A12814" w:rsidP="00A12814">
      <w:pPr>
        <w:rPr>
          <w:b/>
          <w:color w:val="000000"/>
          <w:sz w:val="22"/>
          <w:szCs w:val="22"/>
          <w:lang w:val="is-IS" w:eastAsia="is-IS"/>
        </w:rPr>
      </w:pPr>
      <w:r w:rsidRPr="00E875C6">
        <w:rPr>
          <w:b/>
          <w:color w:val="000000"/>
          <w:sz w:val="22"/>
          <w:szCs w:val="22"/>
          <w:lang w:val="is-IS" w:eastAsia="is-IS"/>
        </w:rPr>
        <w:t>Sbr. tilgreint í 2. mgr. regl. nr. 243/2006:</w:t>
      </w:r>
    </w:p>
    <w:p w:rsidR="00A12814" w:rsidRPr="00E875C6" w:rsidRDefault="00A12814" w:rsidP="00A12814">
      <w:pPr>
        <w:rPr>
          <w:b/>
          <w:i/>
          <w:color w:val="000000"/>
          <w:sz w:val="22"/>
          <w:szCs w:val="22"/>
          <w:lang w:val="is-IS" w:eastAsia="is-IS"/>
        </w:rPr>
      </w:pPr>
      <w:r w:rsidRPr="00E875C6">
        <w:rPr>
          <w:b/>
          <w:i/>
          <w:color w:val="000000"/>
          <w:sz w:val="22"/>
          <w:szCs w:val="22"/>
          <w:lang w:val="is-IS" w:eastAsia="is-IS"/>
        </w:rPr>
        <w:t>Ef ósamræmi er á milli íslensks og ensks texta reglugerðar framkvæmdastjórnarinnar nr. 809/2004 skal skýra íslenska textann með hliðsjón af enska textanum.</w:t>
      </w:r>
    </w:p>
    <w:p w:rsidR="00A12814" w:rsidRPr="00E875C6" w:rsidRDefault="00A12814" w:rsidP="00A12814">
      <w:pPr>
        <w:ind w:left="720"/>
        <w:rPr>
          <w:b/>
          <w:color w:val="000000"/>
          <w:sz w:val="22"/>
          <w:szCs w:val="22"/>
          <w:lang w:val="is-IS" w:eastAsia="is-IS"/>
        </w:rPr>
      </w:pPr>
    </w:p>
    <w:p w:rsidR="00A12814" w:rsidRPr="00E875C6" w:rsidRDefault="00A12814" w:rsidP="00A12814">
      <w:pPr>
        <w:rPr>
          <w:b/>
          <w:sz w:val="22"/>
          <w:szCs w:val="22"/>
          <w:lang w:val="is-IS"/>
        </w:rPr>
      </w:pPr>
      <w:r w:rsidRPr="00E875C6">
        <w:rPr>
          <w:b/>
          <w:sz w:val="22"/>
          <w:szCs w:val="22"/>
          <w:lang w:val="is-IS"/>
        </w:rPr>
        <w:t>Ef ósamræmi er á milli textans í þessu skjali og texta reglugerðar framkvæmdastjórnarinnar nr. 809/2004 er það texti reglugerðarinnar sem gildir.</w:t>
      </w:r>
    </w:p>
    <w:p w:rsidR="00841558" w:rsidRPr="00E875C6" w:rsidRDefault="00841558" w:rsidP="004562C7">
      <w:pPr>
        <w:rPr>
          <w:b/>
          <w:color w:val="4F81BD" w:themeColor="accent1"/>
          <w:sz w:val="22"/>
          <w:szCs w:val="22"/>
          <w:lang w:val="is-IS"/>
        </w:rPr>
      </w:pPr>
    </w:p>
    <w:p w:rsidR="008969AD" w:rsidRPr="00E875C6" w:rsidRDefault="008969AD" w:rsidP="00036D2A">
      <w:pPr>
        <w:rPr>
          <w:b/>
          <w:sz w:val="22"/>
          <w:szCs w:val="22"/>
          <w:lang w:val="is-IS"/>
        </w:rPr>
      </w:pPr>
    </w:p>
    <w:p w:rsidR="00161EA2" w:rsidRPr="00E875C6" w:rsidRDefault="00161EA2" w:rsidP="00161E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E875C6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X</w:t>
      </w:r>
      <w:r w:rsidR="00BA1705" w:rsidRPr="00E875C6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I</w:t>
      </w:r>
      <w:r w:rsidRPr="00E875C6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I. VIÐAUKI</w:t>
      </w:r>
    </w:p>
    <w:p w:rsidR="00161EA2" w:rsidRPr="00E875C6" w:rsidRDefault="00161EA2" w:rsidP="00161E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161EA2" w:rsidRPr="00E875C6" w:rsidRDefault="00BA1705" w:rsidP="00BA1705">
      <w:pPr>
        <w:ind w:left="-180" w:firstLine="18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E875C6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Lágmarkskröfur um upplýsingar sem koma skulu fram í verðbréfalýsingu fyrir afleidd verðbréf (grunnskjal)</w:t>
      </w:r>
    </w:p>
    <w:p w:rsidR="00BA1705" w:rsidRDefault="00BA1705" w:rsidP="00BA1705">
      <w:pPr>
        <w:ind w:left="-180" w:firstLine="180"/>
        <w:jc w:val="center"/>
        <w:rPr>
          <w:lang w:val="is-I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01"/>
        <w:gridCol w:w="1167"/>
        <w:gridCol w:w="7380"/>
      </w:tblGrid>
      <w:tr w:rsidR="00855260" w:rsidRPr="009C0ABD" w:rsidTr="00855260">
        <w:trPr>
          <w:trHeight w:val="32"/>
        </w:trPr>
        <w:tc>
          <w:tcPr>
            <w:tcW w:w="1101" w:type="dxa"/>
          </w:tcPr>
          <w:p w:rsidR="00855260" w:rsidRPr="00C4246A" w:rsidRDefault="00855260" w:rsidP="00674FB4">
            <w:pPr>
              <w:rPr>
                <w:b/>
                <w:color w:val="FF0000"/>
                <w:sz w:val="22"/>
                <w:szCs w:val="22"/>
                <w:lang w:val="is-IS"/>
              </w:rPr>
            </w:pPr>
            <w:r>
              <w:rPr>
                <w:b/>
                <w:color w:val="FF0000"/>
                <w:sz w:val="22"/>
                <w:szCs w:val="22"/>
                <w:lang w:val="is-IS"/>
              </w:rPr>
              <w:t xml:space="preserve">Kafli# </w:t>
            </w:r>
            <w:r w:rsidRPr="00C4246A">
              <w:rPr>
                <w:b/>
                <w:color w:val="FF0000"/>
                <w:sz w:val="22"/>
                <w:szCs w:val="22"/>
                <w:lang w:val="is-IS"/>
              </w:rPr>
              <w:t>Bls</w:t>
            </w:r>
            <w:r>
              <w:rPr>
                <w:b/>
                <w:color w:val="FF0000"/>
                <w:sz w:val="22"/>
                <w:szCs w:val="22"/>
                <w:lang w:val="is-IS"/>
              </w:rPr>
              <w:t>#</w:t>
            </w:r>
          </w:p>
        </w:tc>
        <w:tc>
          <w:tcPr>
            <w:tcW w:w="1167" w:type="dxa"/>
            <w:vAlign w:val="center"/>
          </w:tcPr>
          <w:p w:rsidR="00855260" w:rsidRPr="00C4246A" w:rsidRDefault="00855260" w:rsidP="00674FB4">
            <w:pPr>
              <w:rPr>
                <w:b/>
                <w:sz w:val="22"/>
                <w:szCs w:val="22"/>
                <w:lang w:val="is-IS"/>
              </w:rPr>
            </w:pPr>
            <w:r w:rsidRPr="00C4246A">
              <w:rPr>
                <w:b/>
                <w:sz w:val="22"/>
                <w:szCs w:val="22"/>
                <w:lang w:val="is-IS"/>
              </w:rPr>
              <w:t>Liður</w:t>
            </w:r>
          </w:p>
        </w:tc>
        <w:tc>
          <w:tcPr>
            <w:tcW w:w="7380" w:type="dxa"/>
            <w:vAlign w:val="center"/>
          </w:tcPr>
          <w:p w:rsidR="00855260" w:rsidRPr="00C4246A" w:rsidRDefault="00855260" w:rsidP="00674FB4">
            <w:pPr>
              <w:rPr>
                <w:b/>
                <w:sz w:val="22"/>
                <w:szCs w:val="22"/>
              </w:rPr>
            </w:pPr>
            <w:r w:rsidRPr="00C4246A">
              <w:rPr>
                <w:b/>
                <w:sz w:val="22"/>
                <w:szCs w:val="22"/>
              </w:rPr>
              <w:t>Efni</w:t>
            </w:r>
          </w:p>
        </w:tc>
      </w:tr>
      <w:tr w:rsidR="001C48A2" w:rsidRPr="009C0ABD" w:rsidTr="00855260">
        <w:trPr>
          <w:trHeight w:val="28"/>
        </w:trPr>
        <w:tc>
          <w:tcPr>
            <w:tcW w:w="1101" w:type="dxa"/>
          </w:tcPr>
          <w:p w:rsidR="001C48A2" w:rsidRPr="009C0ABD" w:rsidRDefault="001C48A2" w:rsidP="00A12814">
            <w:pPr>
              <w:rPr>
                <w:b/>
                <w:color w:val="FF0000"/>
                <w:sz w:val="22"/>
                <w:szCs w:val="22"/>
                <w:lang w:val="is-IS"/>
              </w:rPr>
            </w:pPr>
          </w:p>
        </w:tc>
        <w:tc>
          <w:tcPr>
            <w:tcW w:w="1167" w:type="dxa"/>
          </w:tcPr>
          <w:p w:rsidR="001C48A2" w:rsidRPr="009C0ABD" w:rsidRDefault="008A365F" w:rsidP="00A12814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</w:t>
            </w:r>
          </w:p>
        </w:tc>
        <w:tc>
          <w:tcPr>
            <w:tcW w:w="7380" w:type="dxa"/>
            <w:vAlign w:val="center"/>
          </w:tcPr>
          <w:p w:rsidR="001C48A2" w:rsidRPr="009C0ABD" w:rsidRDefault="00C26FB8" w:rsidP="008A365F">
            <w:pPr>
              <w:rPr>
                <w:sz w:val="22"/>
                <w:szCs w:val="22"/>
                <w:lang w:val="is-IS"/>
              </w:rPr>
            </w:pPr>
            <w:r w:rsidRPr="00C26FB8">
              <w:rPr>
                <w:b/>
                <w:sz w:val="22"/>
                <w:szCs w:val="22"/>
              </w:rPr>
              <w:t>ÁBYRGIR AÐILAR</w:t>
            </w:r>
          </w:p>
        </w:tc>
      </w:tr>
      <w:tr w:rsidR="001C48A2" w:rsidRPr="009C0ABD" w:rsidTr="00855260">
        <w:trPr>
          <w:trHeight w:val="964"/>
        </w:trPr>
        <w:tc>
          <w:tcPr>
            <w:tcW w:w="1101" w:type="dxa"/>
          </w:tcPr>
          <w:p w:rsidR="001C48A2" w:rsidRPr="009C0ABD" w:rsidRDefault="001C48A2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C48A2" w:rsidRPr="009C0ABD" w:rsidRDefault="008A365F" w:rsidP="00A12814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1.1.</w:t>
            </w:r>
          </w:p>
        </w:tc>
        <w:tc>
          <w:tcPr>
            <w:tcW w:w="7380" w:type="dxa"/>
            <w:vAlign w:val="center"/>
          </w:tcPr>
          <w:p w:rsidR="001C48A2" w:rsidRPr="009C0ABD" w:rsidRDefault="0030196B" w:rsidP="0030196B">
            <w:pPr>
              <w:rPr>
                <w:sz w:val="22"/>
                <w:szCs w:val="22"/>
                <w:lang w:val="is-IS"/>
              </w:rPr>
            </w:pPr>
            <w:r w:rsidRPr="0030196B">
              <w:rPr>
                <w:sz w:val="22"/>
                <w:szCs w:val="22"/>
                <w:lang w:val="is-IS"/>
              </w:rPr>
              <w:t>Tilgreina skal alla aðila sem eru ábyrgir fyrir upplýsingum í lýsingunni, og, eftir atvikum, fyrir tilteknum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30196B">
              <w:rPr>
                <w:sz w:val="22"/>
                <w:szCs w:val="22"/>
                <w:lang w:val="is-IS"/>
              </w:rPr>
              <w:t>hlutum hennar og í því tilviki skal tilgreina þá hluta sem þeir eru ábyrgir fyrir. Ef um er að ræða einstaklinga,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30196B">
              <w:rPr>
                <w:sz w:val="22"/>
                <w:szCs w:val="22"/>
                <w:lang w:val="is-IS"/>
              </w:rPr>
              <w:t>þ.m.t. aðilar að stjórn, framkvæmdastjórn eða eftirlitsstjórn útgefandans, skulu þeir tilgreindir með nafni og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30196B">
              <w:rPr>
                <w:sz w:val="22"/>
                <w:szCs w:val="22"/>
                <w:lang w:val="is-IS"/>
              </w:rPr>
              <w:t>stöðuheiti. Ef um er að ræða lögaðila skal tilgreina nafn þeirra og skráða skrifstofu.</w:t>
            </w:r>
          </w:p>
        </w:tc>
      </w:tr>
      <w:tr w:rsidR="001C48A2" w:rsidRPr="009C0ABD" w:rsidTr="00855260">
        <w:trPr>
          <w:trHeight w:val="1597"/>
        </w:trPr>
        <w:tc>
          <w:tcPr>
            <w:tcW w:w="1101" w:type="dxa"/>
          </w:tcPr>
          <w:p w:rsidR="001C48A2" w:rsidRPr="009C0ABD" w:rsidRDefault="001C48A2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C48A2" w:rsidRPr="009C0ABD" w:rsidRDefault="008A365F" w:rsidP="00A12814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1.2.</w:t>
            </w:r>
          </w:p>
        </w:tc>
        <w:tc>
          <w:tcPr>
            <w:tcW w:w="7380" w:type="dxa"/>
            <w:vAlign w:val="center"/>
          </w:tcPr>
          <w:p w:rsidR="001C48A2" w:rsidRPr="009C0ABD" w:rsidRDefault="0030196B" w:rsidP="0030196B">
            <w:pPr>
              <w:rPr>
                <w:sz w:val="22"/>
                <w:szCs w:val="22"/>
                <w:lang w:val="is-IS"/>
              </w:rPr>
            </w:pPr>
            <w:r w:rsidRPr="0030196B">
              <w:rPr>
                <w:sz w:val="22"/>
                <w:szCs w:val="22"/>
                <w:lang w:val="is-IS"/>
              </w:rPr>
              <w:t>Yfirlýsing frá þeim sem eru ábyrgir fyrir lýsingunni þess efnis að samkvæmt þeirra bestu vitund séu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30196B">
              <w:rPr>
                <w:sz w:val="22"/>
                <w:szCs w:val="22"/>
                <w:lang w:val="is-IS"/>
              </w:rPr>
              <w:t>upplýsingarnar, sem lýsingin hefur að geyma, í samræmi við staðreyndir og að engum upplýsingum sé sleppt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30196B">
              <w:rPr>
                <w:sz w:val="22"/>
                <w:szCs w:val="22"/>
                <w:lang w:val="is-IS"/>
              </w:rPr>
              <w:t>sem kunna að skipta máli varðandi áreiðanleika hennar. Eftir atvikum, yfirlýsing frá þeim sem eru ábyrgir fyrir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30196B">
              <w:rPr>
                <w:sz w:val="22"/>
                <w:szCs w:val="22"/>
                <w:lang w:val="is-IS"/>
              </w:rPr>
              <w:t>tilteknum hlutum lýsingarinnar þess efnis að samkvæmt þeirra bestu vitund séu upplýsingarnar, sem er að finna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30196B">
              <w:rPr>
                <w:sz w:val="22"/>
                <w:szCs w:val="22"/>
                <w:lang w:val="is-IS"/>
              </w:rPr>
              <w:t>í þeim hluta lýsingarinnar sem þeir eru ábyrgir fyrir, í samræmi við staðreyndir og að engum upplýsingum sé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30196B">
              <w:rPr>
                <w:sz w:val="22"/>
                <w:szCs w:val="22"/>
                <w:lang w:val="is-IS"/>
              </w:rPr>
              <w:t>sleppt sem kunna að skipta máli varðandi áreiðanleika hans.</w:t>
            </w:r>
          </w:p>
        </w:tc>
      </w:tr>
      <w:tr w:rsidR="00CC2770" w:rsidRPr="009C0ABD" w:rsidTr="00855260">
        <w:trPr>
          <w:trHeight w:val="1018"/>
        </w:trPr>
        <w:tc>
          <w:tcPr>
            <w:tcW w:w="1101" w:type="dxa"/>
          </w:tcPr>
          <w:p w:rsidR="00CC2770" w:rsidRPr="009C0ABD" w:rsidRDefault="00CC2770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CC2770" w:rsidRPr="009C0ABD" w:rsidRDefault="0030196B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2.</w:t>
            </w:r>
          </w:p>
        </w:tc>
        <w:tc>
          <w:tcPr>
            <w:tcW w:w="7380" w:type="dxa"/>
            <w:vAlign w:val="center"/>
          </w:tcPr>
          <w:p w:rsidR="009057BA" w:rsidRDefault="00C26FB8" w:rsidP="009057B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s-IS" w:eastAsia="is-IS"/>
              </w:rPr>
            </w:pPr>
            <w:r w:rsidRPr="00C26FB8">
              <w:rPr>
                <w:b/>
                <w:bCs/>
                <w:sz w:val="22"/>
                <w:szCs w:val="22"/>
                <w:lang w:val="is-IS" w:eastAsia="is-IS"/>
              </w:rPr>
              <w:t>ÁHÆTTUÞÆTTIR</w:t>
            </w:r>
          </w:p>
          <w:p w:rsidR="0030196B" w:rsidRDefault="0030196B" w:rsidP="009057B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s-IS" w:eastAsia="is-IS"/>
              </w:rPr>
            </w:pPr>
          </w:p>
          <w:p w:rsidR="0030196B" w:rsidRPr="0030196B" w:rsidRDefault="0030196B" w:rsidP="003019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bCs/>
                <w:sz w:val="22"/>
                <w:szCs w:val="22"/>
                <w:lang w:val="is-IS" w:eastAsia="is-IS"/>
              </w:rPr>
              <w:t>Upplýsingar um áhættuþætti sem skipta máli fyrir verðbréfin sem eru boðin til kaups eða skráð á markað svo</w:t>
            </w:r>
            <w:r>
              <w:rPr>
                <w:bCs/>
                <w:sz w:val="22"/>
                <w:szCs w:val="22"/>
                <w:lang w:val="is-IS" w:eastAsia="is-IS"/>
              </w:rPr>
              <w:t xml:space="preserve"> </w:t>
            </w:r>
            <w:r w:rsidRPr="0030196B">
              <w:rPr>
                <w:bCs/>
                <w:sz w:val="22"/>
                <w:szCs w:val="22"/>
                <w:lang w:val="is-IS" w:eastAsia="is-IS"/>
              </w:rPr>
              <w:t>meta megi markaðsáhættuna sem tengist þeim skulu birtar á áberandi stað í kafla sem ber yfirskriftina</w:t>
            </w:r>
            <w:r>
              <w:rPr>
                <w:bCs/>
                <w:sz w:val="22"/>
                <w:szCs w:val="22"/>
                <w:lang w:val="is-IS" w:eastAsia="is-IS"/>
              </w:rPr>
              <w:t xml:space="preserve"> </w:t>
            </w:r>
            <w:r w:rsidRPr="0030196B">
              <w:rPr>
                <w:bCs/>
                <w:sz w:val="22"/>
                <w:szCs w:val="22"/>
                <w:lang w:val="is-IS" w:eastAsia="is-IS"/>
              </w:rPr>
              <w:t>„Áhættuþættir“. Þetta skal fela í sér áhættuviðvörun þess efnis að fjárfestar geti tapað verðmæti allra</w:t>
            </w:r>
          </w:p>
          <w:p w:rsidR="0030196B" w:rsidRPr="0030196B" w:rsidRDefault="0030196B" w:rsidP="003019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bCs/>
                <w:sz w:val="22"/>
                <w:szCs w:val="22"/>
                <w:lang w:val="is-IS" w:eastAsia="is-IS"/>
              </w:rPr>
              <w:t>fjárfestinga sinna eða hluta þess, eftir atvikum, og/eða ef bótaábyrgð fjárfesta takmarkast ekki við verðmæti</w:t>
            </w:r>
            <w:r>
              <w:rPr>
                <w:bCs/>
                <w:sz w:val="22"/>
                <w:szCs w:val="22"/>
                <w:lang w:val="is-IS" w:eastAsia="is-IS"/>
              </w:rPr>
              <w:t xml:space="preserve"> </w:t>
            </w:r>
            <w:r w:rsidRPr="0030196B">
              <w:rPr>
                <w:bCs/>
                <w:sz w:val="22"/>
                <w:szCs w:val="22"/>
                <w:lang w:val="is-IS" w:eastAsia="is-IS"/>
              </w:rPr>
              <w:t>fjárfestinga hans skal taka það fram ásamt lýsingu á aðstæðum þar sem slík viðbótarbótaábyrgð á sér stað og</w:t>
            </w:r>
            <w:r>
              <w:rPr>
                <w:bCs/>
                <w:sz w:val="22"/>
                <w:szCs w:val="22"/>
                <w:lang w:val="is-IS" w:eastAsia="is-IS"/>
              </w:rPr>
              <w:t xml:space="preserve"> </w:t>
            </w:r>
            <w:r w:rsidRPr="0030196B">
              <w:rPr>
                <w:bCs/>
                <w:sz w:val="22"/>
                <w:szCs w:val="22"/>
                <w:lang w:val="is-IS" w:eastAsia="is-IS"/>
              </w:rPr>
              <w:t>möguleg fjárhagsleg áhrif.</w:t>
            </w:r>
          </w:p>
        </w:tc>
      </w:tr>
      <w:tr w:rsidR="00590EEB" w:rsidRPr="009C0ABD" w:rsidTr="00855260">
        <w:trPr>
          <w:trHeight w:val="28"/>
        </w:trPr>
        <w:tc>
          <w:tcPr>
            <w:tcW w:w="1101" w:type="dxa"/>
          </w:tcPr>
          <w:p w:rsidR="00590EEB" w:rsidRPr="009C0ABD" w:rsidRDefault="00590EEB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90EEB" w:rsidRDefault="0030196B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3</w:t>
            </w:r>
            <w:r w:rsidR="00590EEB">
              <w:rPr>
                <w:b/>
                <w:sz w:val="22"/>
                <w:szCs w:val="22"/>
                <w:lang w:val="is-IS"/>
              </w:rPr>
              <w:t>.</w:t>
            </w:r>
          </w:p>
        </w:tc>
        <w:tc>
          <w:tcPr>
            <w:tcW w:w="7380" w:type="dxa"/>
            <w:vAlign w:val="center"/>
          </w:tcPr>
          <w:p w:rsidR="00590EEB" w:rsidRPr="00590EEB" w:rsidRDefault="0030196B" w:rsidP="006F1AA6">
            <w:pPr>
              <w:autoSpaceDE w:val="0"/>
              <w:autoSpaceDN w:val="0"/>
              <w:adjustRightInd w:val="0"/>
              <w:rPr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HELSTU UPPLÝSINGAR</w:t>
            </w:r>
          </w:p>
        </w:tc>
      </w:tr>
      <w:tr w:rsidR="00590EEB" w:rsidRPr="009C0ABD" w:rsidTr="00855260">
        <w:trPr>
          <w:trHeight w:val="333"/>
        </w:trPr>
        <w:tc>
          <w:tcPr>
            <w:tcW w:w="1101" w:type="dxa"/>
          </w:tcPr>
          <w:p w:rsidR="00590EEB" w:rsidRPr="009C0ABD" w:rsidRDefault="00590EEB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90EEB" w:rsidRDefault="0030196B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3</w:t>
            </w:r>
            <w:r w:rsidR="00590EEB">
              <w:rPr>
                <w:b/>
                <w:sz w:val="22"/>
                <w:szCs w:val="22"/>
                <w:lang w:val="is-IS"/>
              </w:rPr>
              <w:t>.1.</w:t>
            </w:r>
          </w:p>
        </w:tc>
        <w:tc>
          <w:tcPr>
            <w:tcW w:w="7380" w:type="dxa"/>
            <w:vAlign w:val="center"/>
          </w:tcPr>
          <w:p w:rsidR="00590EEB" w:rsidRDefault="0030196B" w:rsidP="00590E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Hagsmunir einstaklinga og lögaðila sem tengjast útgáfunni/útboðinu</w:t>
            </w:r>
          </w:p>
          <w:p w:rsidR="0030196B" w:rsidRDefault="0030196B" w:rsidP="00590E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</w:p>
          <w:p w:rsidR="0030196B" w:rsidRPr="0030196B" w:rsidRDefault="0030196B" w:rsidP="003019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hvers kyns hagsmunum, þ.m.t. ósamrýmanlegir hagsmunir sem skipta máli fyrir útgáfu/útboð, ásamt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ítarlegum upplýsingum um aðila sem hlut eiga að máli og eðli hagsmunanna.</w:t>
            </w:r>
          </w:p>
        </w:tc>
      </w:tr>
      <w:tr w:rsidR="000F7090" w:rsidRPr="009C0ABD" w:rsidTr="00855260">
        <w:trPr>
          <w:trHeight w:val="333"/>
        </w:trPr>
        <w:tc>
          <w:tcPr>
            <w:tcW w:w="1101" w:type="dxa"/>
          </w:tcPr>
          <w:p w:rsidR="000F7090" w:rsidRPr="009C0ABD" w:rsidRDefault="000F7090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0F7090" w:rsidRDefault="0030196B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3</w:t>
            </w:r>
            <w:r w:rsidR="000F7090">
              <w:rPr>
                <w:b/>
                <w:sz w:val="22"/>
                <w:szCs w:val="22"/>
                <w:lang w:val="is-IS"/>
              </w:rPr>
              <w:t>.</w:t>
            </w:r>
            <w:r>
              <w:rPr>
                <w:b/>
                <w:sz w:val="22"/>
                <w:szCs w:val="22"/>
                <w:lang w:val="is-IS"/>
              </w:rPr>
              <w:t>2</w:t>
            </w:r>
            <w:r w:rsidR="000F7090">
              <w:rPr>
                <w:b/>
                <w:sz w:val="22"/>
                <w:szCs w:val="22"/>
                <w:lang w:val="is-IS"/>
              </w:rPr>
              <w:t>.</w:t>
            </w:r>
          </w:p>
        </w:tc>
        <w:tc>
          <w:tcPr>
            <w:tcW w:w="7380" w:type="dxa"/>
            <w:vAlign w:val="center"/>
          </w:tcPr>
          <w:p w:rsidR="0030196B" w:rsidRPr="0030196B" w:rsidRDefault="0030196B" w:rsidP="003019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Ástæður fyrir útboðinu og ráðstöfun söluandvirðis ef það varðar ekki myndun hagnaðar og/eða vörn gegn tilteknum áhættum</w:t>
            </w:r>
          </w:p>
          <w:p w:rsidR="0030196B" w:rsidRPr="0030196B" w:rsidRDefault="0030196B" w:rsidP="003019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0F7090" w:rsidRPr="000F7090" w:rsidRDefault="0030196B" w:rsidP="003019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ástæður útboðsins og ráðstöfun söluandvirðis eru tilgreind skal gefa upp nettósöluandvirði og áætlaðan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heildarkostnað vegna útgáfunnar/útboðsins.</w:t>
            </w:r>
          </w:p>
        </w:tc>
      </w:tr>
      <w:tr w:rsidR="00111131" w:rsidRPr="009C0ABD" w:rsidTr="00855260">
        <w:trPr>
          <w:trHeight w:val="28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</w:t>
            </w:r>
          </w:p>
        </w:tc>
        <w:tc>
          <w:tcPr>
            <w:tcW w:w="7380" w:type="dxa"/>
            <w:vAlign w:val="center"/>
          </w:tcPr>
          <w:p w:rsidR="00111131" w:rsidRPr="0030196B" w:rsidRDefault="0030196B" w:rsidP="00590E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UPPLÝSINGAR UM VERÐBRÉF SEM Á AÐ BJÓÐA/SKRÁ Á MARKAÐ</w:t>
            </w:r>
          </w:p>
        </w:tc>
      </w:tr>
      <w:tr w:rsidR="00111131" w:rsidRPr="009C0ABD" w:rsidTr="00855260">
        <w:trPr>
          <w:trHeight w:val="28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</w:t>
            </w:r>
          </w:p>
        </w:tc>
        <w:tc>
          <w:tcPr>
            <w:tcW w:w="7380" w:type="dxa"/>
            <w:vAlign w:val="center"/>
          </w:tcPr>
          <w:p w:rsidR="00111131" w:rsidRPr="0030196B" w:rsidRDefault="0030196B" w:rsidP="00590E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Upplýsingar um verðbréf</w:t>
            </w:r>
          </w:p>
        </w:tc>
      </w:tr>
      <w:tr w:rsidR="00111131" w:rsidRPr="009C0ABD" w:rsidTr="00855260">
        <w:trPr>
          <w:trHeight w:val="28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</w:t>
            </w:r>
            <w:r w:rsidR="0030196B">
              <w:rPr>
                <w:b/>
                <w:sz w:val="22"/>
                <w:szCs w:val="22"/>
                <w:lang w:val="is-IS"/>
              </w:rPr>
              <w:t>1</w:t>
            </w:r>
            <w:r>
              <w:rPr>
                <w:b/>
                <w:sz w:val="22"/>
                <w:szCs w:val="22"/>
                <w:lang w:val="is-IS"/>
              </w:rPr>
              <w:t>.</w:t>
            </w:r>
          </w:p>
        </w:tc>
        <w:tc>
          <w:tcPr>
            <w:tcW w:w="7380" w:type="dxa"/>
            <w:vAlign w:val="center"/>
          </w:tcPr>
          <w:p w:rsidR="00111131" w:rsidRPr="00111131" w:rsidRDefault="0030196B" w:rsidP="003019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tegund og flokki verðbréfa sem eru boðin til kaups og/eða skráð, þ.m.t. ISIN-númer eða annað slíkt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öryggisauðkennisnúmer.</w:t>
            </w:r>
          </w:p>
        </w:tc>
      </w:tr>
      <w:tr w:rsidR="00111131" w:rsidRPr="009C0ABD" w:rsidTr="00855260">
        <w:trPr>
          <w:trHeight w:val="520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</w:t>
            </w:r>
            <w:r w:rsidR="0030196B">
              <w:rPr>
                <w:b/>
                <w:sz w:val="22"/>
                <w:szCs w:val="22"/>
                <w:lang w:val="is-IS"/>
              </w:rPr>
              <w:t>2</w:t>
            </w:r>
            <w:r>
              <w:rPr>
                <w:b/>
                <w:sz w:val="22"/>
                <w:szCs w:val="22"/>
                <w:lang w:val="is-IS"/>
              </w:rPr>
              <w:t>.</w:t>
            </w:r>
          </w:p>
        </w:tc>
        <w:tc>
          <w:tcPr>
            <w:tcW w:w="7380" w:type="dxa"/>
            <w:vAlign w:val="center"/>
          </w:tcPr>
          <w:p w:rsidR="00111131" w:rsidRPr="00111131" w:rsidRDefault="0030196B" w:rsidP="00FE5AE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Skýr og ítarleg skýring til að hjálpa fjárfestum að skilja hvernig virði undir</w:t>
            </w:r>
            <w:r w:rsid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softHyphen/>
            </w: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liggjandi gernings eða gerninga hefur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áhrif á virði fjárfestinga þeirra, einkum við þær aðstæður þegar áhættan er augljós nema þar sem nafnvirði</w:t>
            </w:r>
            <w:r w:rsid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="00FE5AEC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hverrar einingar er a.m.k. 10</w:t>
            </w:r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0.000 evrur eða þar sem einungis er hægt að kaupa verðbréf við útgáfu fyrir a.m.k.</w:t>
            </w:r>
            <w:r w:rsid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="00FE5AEC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10</w:t>
            </w:r>
            <w:bookmarkStart w:id="0" w:name="_GoBack"/>
            <w:bookmarkEnd w:id="0"/>
            <w:r w:rsidRPr="0030196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0.000 evrur.</w:t>
            </w:r>
          </w:p>
        </w:tc>
      </w:tr>
      <w:tr w:rsidR="005470CF" w:rsidRPr="009C0ABD" w:rsidTr="00855260">
        <w:trPr>
          <w:trHeight w:val="116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5470CF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4.1.3.</w:t>
            </w:r>
          </w:p>
        </w:tc>
        <w:tc>
          <w:tcPr>
            <w:tcW w:w="7380" w:type="dxa"/>
            <w:vAlign w:val="center"/>
          </w:tcPr>
          <w:p w:rsidR="005470CF" w:rsidRPr="005470CF" w:rsidRDefault="005470CF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löggjöfina sem verðbréfin eru gefin út í samræmi við.</w:t>
            </w:r>
          </w:p>
        </w:tc>
      </w:tr>
      <w:tr w:rsidR="005470CF" w:rsidRPr="009C0ABD" w:rsidTr="00855260">
        <w:trPr>
          <w:trHeight w:val="333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5470CF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4.1.4.</w:t>
            </w:r>
          </w:p>
        </w:tc>
        <w:tc>
          <w:tcPr>
            <w:tcW w:w="7380" w:type="dxa"/>
            <w:vAlign w:val="center"/>
          </w:tcPr>
          <w:p w:rsidR="005470CF" w:rsidRPr="005470CF" w:rsidRDefault="005470CF" w:rsidP="005470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hvort verðbréfin eru nafnbréf eða handhafabréf og hvort þau eru í skírteinisformi eða rafrænt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skráð. Í síðara tilvikinu skal tilgreina nafn og heimilisfang aðilans sem sér um skráninguna.</w:t>
            </w:r>
          </w:p>
        </w:tc>
      </w:tr>
      <w:tr w:rsidR="005470CF" w:rsidRPr="009C0ABD" w:rsidTr="00855260">
        <w:trPr>
          <w:trHeight w:val="28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5470CF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4.1.5.</w:t>
            </w:r>
          </w:p>
        </w:tc>
        <w:tc>
          <w:tcPr>
            <w:tcW w:w="7380" w:type="dxa"/>
            <w:vAlign w:val="center"/>
          </w:tcPr>
          <w:p w:rsidR="005470CF" w:rsidRPr="005470CF" w:rsidRDefault="005470CF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í hvaða gjaldmiðli verðbréfin eru gefin út.</w:t>
            </w:r>
          </w:p>
        </w:tc>
      </w:tr>
      <w:tr w:rsidR="005470CF" w:rsidRPr="009C0ABD" w:rsidTr="00855260">
        <w:trPr>
          <w:trHeight w:val="281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5470CF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4.1.6.</w:t>
            </w:r>
          </w:p>
        </w:tc>
        <w:tc>
          <w:tcPr>
            <w:tcW w:w="7380" w:type="dxa"/>
            <w:vAlign w:val="center"/>
          </w:tcPr>
          <w:p w:rsidR="005470CF" w:rsidRPr="005470CF" w:rsidRDefault="005470CF" w:rsidP="005470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Forgangsröðun verðbréfanna sem boðin eru til kaups og/eða á að skrá, þ.m.t. samantektir á hvers kyns ákvæðum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sem eiga að ákvarða forgangsröðun verðbréfa eða gera þau víkjandi gagnvart yfirstandandi eða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framtíðar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softHyphen/>
            </w: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skuld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softHyphen/>
            </w: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bindingum útgefandans.</w:t>
            </w:r>
          </w:p>
        </w:tc>
      </w:tr>
      <w:tr w:rsidR="005470CF" w:rsidRPr="009C0ABD" w:rsidTr="00855260">
        <w:trPr>
          <w:trHeight w:val="333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5470CF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4.1.7.</w:t>
            </w:r>
          </w:p>
        </w:tc>
        <w:tc>
          <w:tcPr>
            <w:tcW w:w="7380" w:type="dxa"/>
            <w:vAlign w:val="center"/>
          </w:tcPr>
          <w:p w:rsidR="005470CF" w:rsidRPr="005470CF" w:rsidRDefault="005470CF" w:rsidP="005470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réttindum tengdum verðbréfum, þ.m.t. hvers kyns takmarkanir á þessum réttindum, og málsmeðferð við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5470CF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nýtingu þeirra.</w:t>
            </w:r>
          </w:p>
        </w:tc>
      </w:tr>
      <w:tr w:rsidR="005470CF" w:rsidRPr="009C0ABD" w:rsidTr="00855260">
        <w:trPr>
          <w:trHeight w:val="333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CE35E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4.1.8.</w:t>
            </w:r>
          </w:p>
        </w:tc>
        <w:tc>
          <w:tcPr>
            <w:tcW w:w="7380" w:type="dxa"/>
            <w:vAlign w:val="center"/>
          </w:tcPr>
          <w:p w:rsidR="005470CF" w:rsidRPr="005470CF" w:rsidRDefault="00CE35E2" w:rsidP="00CE35E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um er að ræða nýjar útgáfur skal útskýra ályktanir, heimildir og samþykktir sem hafa eða munu liggja til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grundvallar stofnun og/eða útgáfu verðbréfa.</w:t>
            </w:r>
          </w:p>
        </w:tc>
      </w:tr>
      <w:tr w:rsidR="005470CF" w:rsidRPr="009C0ABD" w:rsidTr="00855260">
        <w:trPr>
          <w:trHeight w:val="28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CE35E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4.1.9.</w:t>
            </w:r>
          </w:p>
        </w:tc>
        <w:tc>
          <w:tcPr>
            <w:tcW w:w="7380" w:type="dxa"/>
            <w:vAlign w:val="center"/>
          </w:tcPr>
          <w:p w:rsidR="005470CF" w:rsidRPr="005470CF" w:rsidRDefault="00CE35E2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Útgáfudagur verðbréfanna.</w:t>
            </w:r>
          </w:p>
        </w:tc>
      </w:tr>
      <w:tr w:rsidR="005470CF" w:rsidRPr="009C0ABD" w:rsidTr="00855260">
        <w:trPr>
          <w:trHeight w:val="28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CE35E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4.1.10.</w:t>
            </w:r>
          </w:p>
        </w:tc>
        <w:tc>
          <w:tcPr>
            <w:tcW w:w="7380" w:type="dxa"/>
            <w:vAlign w:val="center"/>
          </w:tcPr>
          <w:p w:rsidR="005470CF" w:rsidRPr="005470CF" w:rsidRDefault="00CE35E2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hvers kyns takmörkunum á frjálsu framsali á verðbréfunum.</w:t>
            </w:r>
          </w:p>
        </w:tc>
      </w:tr>
      <w:tr w:rsidR="005470CF" w:rsidRPr="009C0ABD" w:rsidTr="00855260">
        <w:trPr>
          <w:trHeight w:val="213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CE35E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4.1.11.</w:t>
            </w:r>
          </w:p>
        </w:tc>
        <w:tc>
          <w:tcPr>
            <w:tcW w:w="7380" w:type="dxa"/>
            <w:vAlign w:val="center"/>
          </w:tcPr>
          <w:p w:rsidR="00CE35E2" w:rsidRPr="00E875C6" w:rsidRDefault="00CE35E2" w:rsidP="00E875C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E875C6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Fyrningardagur eða gjalddagi afleiddu verðbréfanna.</w:t>
            </w:r>
          </w:p>
          <w:p w:rsidR="00CE35E2" w:rsidRDefault="00CE35E2" w:rsidP="00CE35E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CE35E2" w:rsidRPr="00E875C6" w:rsidRDefault="00CE35E2" w:rsidP="00E875C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E875C6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Nýtingardagur eða síðasti viðmiðunardagur.</w:t>
            </w:r>
          </w:p>
        </w:tc>
      </w:tr>
      <w:tr w:rsidR="005470CF" w:rsidRPr="009C0ABD" w:rsidTr="00855260">
        <w:trPr>
          <w:trHeight w:val="28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CE35E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4.1.12.</w:t>
            </w:r>
          </w:p>
        </w:tc>
        <w:tc>
          <w:tcPr>
            <w:tcW w:w="7380" w:type="dxa"/>
            <w:vAlign w:val="center"/>
          </w:tcPr>
          <w:p w:rsidR="005470CF" w:rsidRPr="005470CF" w:rsidRDefault="00CE35E2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uppgjörsaðferð afleiddu verðbréfanna.</w:t>
            </w:r>
          </w:p>
        </w:tc>
      </w:tr>
      <w:tr w:rsidR="005470CF" w:rsidRPr="009C0ABD" w:rsidTr="00855260">
        <w:trPr>
          <w:trHeight w:val="28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CE35E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4.1.13.</w:t>
            </w:r>
          </w:p>
        </w:tc>
        <w:tc>
          <w:tcPr>
            <w:tcW w:w="7380" w:type="dxa"/>
            <w:vAlign w:val="center"/>
          </w:tcPr>
          <w:p w:rsidR="005470CF" w:rsidRPr="005470CF" w:rsidRDefault="00CE35E2" w:rsidP="00CE35E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því hvernig hagnaður af afleiddum verðbréfum er greiddur út, greiðsludagur eða afhendingardagur og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aðferð við útreikning.</w:t>
            </w:r>
          </w:p>
        </w:tc>
      </w:tr>
      <w:tr w:rsidR="005470CF" w:rsidRPr="009C0ABD" w:rsidTr="00855260">
        <w:trPr>
          <w:trHeight w:val="333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CE35E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4.1.14.</w:t>
            </w:r>
          </w:p>
        </w:tc>
        <w:tc>
          <w:tcPr>
            <w:tcW w:w="7380" w:type="dxa"/>
            <w:vAlign w:val="center"/>
          </w:tcPr>
          <w:p w:rsidR="00CE35E2" w:rsidRPr="00CE35E2" w:rsidRDefault="00CE35E2" w:rsidP="00CE35E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Að því er varðar landið þar sem útgefandi hefur skráða skrifstofu og land eða lönd þar sem útboð verðbréfa fer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fram eða þar sem óskað er eftir skráningu skal tilgreina eftirfarandi:</w:t>
            </w:r>
            <w:r w:rsidR="00E875C6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br/>
            </w:r>
          </w:p>
          <w:p w:rsidR="00CE35E2" w:rsidRDefault="00CE35E2" w:rsidP="00CE35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skatta af verðbréfunum sem haldið er eftir til staðgreiðslu,</w:t>
            </w:r>
            <w:r w:rsidR="00E875C6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br/>
            </w:r>
          </w:p>
          <w:p w:rsidR="005470CF" w:rsidRPr="00CE35E2" w:rsidRDefault="00CE35E2" w:rsidP="00CE35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CE35E2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hvort útgefandi ábyrgist að staðgreiðsluskatti sé haldið eftir.</w:t>
            </w:r>
          </w:p>
        </w:tc>
      </w:tr>
      <w:tr w:rsidR="005470CF" w:rsidRPr="009C0ABD" w:rsidTr="00855260">
        <w:trPr>
          <w:trHeight w:val="333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7310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4.2.</w:t>
            </w:r>
          </w:p>
        </w:tc>
        <w:tc>
          <w:tcPr>
            <w:tcW w:w="7380" w:type="dxa"/>
            <w:vAlign w:val="center"/>
          </w:tcPr>
          <w:p w:rsidR="005470CF" w:rsidRPr="00731035" w:rsidRDefault="007310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Upplýsingar um undirliggjandi þætti</w:t>
            </w:r>
          </w:p>
        </w:tc>
      </w:tr>
      <w:tr w:rsidR="005470CF" w:rsidRPr="009C0ABD" w:rsidTr="00855260">
        <w:trPr>
          <w:trHeight w:val="333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7310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4.2.1.</w:t>
            </w:r>
          </w:p>
        </w:tc>
        <w:tc>
          <w:tcPr>
            <w:tcW w:w="7380" w:type="dxa"/>
            <w:vAlign w:val="center"/>
          </w:tcPr>
          <w:p w:rsidR="005470CF" w:rsidRPr="005470CF" w:rsidRDefault="007310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Nýtingarverð eða lokaviðmiðunarverð fyrir undirliggjandi þætti.</w:t>
            </w:r>
          </w:p>
        </w:tc>
      </w:tr>
      <w:tr w:rsidR="00731035" w:rsidRPr="009C0ABD" w:rsidTr="00855260">
        <w:trPr>
          <w:trHeight w:val="333"/>
        </w:trPr>
        <w:tc>
          <w:tcPr>
            <w:tcW w:w="1101" w:type="dxa"/>
          </w:tcPr>
          <w:p w:rsidR="00731035" w:rsidRPr="009C0ABD" w:rsidRDefault="007310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731035" w:rsidRDefault="007310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4.2.2.</w:t>
            </w:r>
          </w:p>
        </w:tc>
        <w:tc>
          <w:tcPr>
            <w:tcW w:w="7380" w:type="dxa"/>
            <w:vAlign w:val="center"/>
          </w:tcPr>
          <w:p w:rsidR="00731035" w:rsidRPr="00731035" w:rsidRDefault="00731035" w:rsidP="007310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Yfirlýsing þar sem tilgreind er tegund undirliggjandi þáttar og hvar unnt sé að fá upplýsingar um hann:</w:t>
            </w:r>
          </w:p>
          <w:p w:rsidR="00731035" w:rsidRPr="00731035" w:rsidRDefault="00731035" w:rsidP="007310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hvar hægt sé að fá upplýsingar um fyrri og frekari þróun undirliggjandi þáttar og óstöðugleika hans,</w:t>
            </w:r>
          </w:p>
          <w:p w:rsidR="00731035" w:rsidRPr="00731035" w:rsidRDefault="00731035" w:rsidP="007310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undirliggjandi er verðbréf,</w:t>
            </w:r>
          </w:p>
          <w:p w:rsidR="00731035" w:rsidRPr="00731035" w:rsidRDefault="00731035" w:rsidP="00731035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nafn útgefanda verðbréfsins,</w:t>
            </w:r>
          </w:p>
          <w:p w:rsidR="00731035" w:rsidRPr="00731035" w:rsidRDefault="00731035" w:rsidP="00731035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ISIN-númer eða annað slíkt öryggisauðkennisnúmer,</w:t>
            </w:r>
          </w:p>
          <w:p w:rsidR="00731035" w:rsidRPr="00731035" w:rsidRDefault="00731035" w:rsidP="007310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undirliggjandi er vísitala (index),</w:t>
            </w:r>
          </w:p>
          <w:p w:rsidR="00731035" w:rsidRPr="00731035" w:rsidRDefault="00731035" w:rsidP="00731035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heiti vísitölunnar og lýsing á henni ef útgefandinn hefur sett hana saman. Ef útgefandinn setur ekki vísitöluna saman skal geta þess hvar hægt sé að fá upplýsingar um hana,</w:t>
            </w:r>
          </w:p>
          <w:p w:rsidR="00731035" w:rsidRPr="00731035" w:rsidRDefault="00731035" w:rsidP="007310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undirliggjandi eru vextir,</w:t>
            </w:r>
          </w:p>
          <w:p w:rsidR="00731035" w:rsidRPr="00731035" w:rsidRDefault="00731035" w:rsidP="00731035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vöxtunum,</w:t>
            </w:r>
          </w:p>
          <w:p w:rsidR="00731035" w:rsidRDefault="00731035" w:rsidP="007310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annað:</w:t>
            </w:r>
          </w:p>
          <w:p w:rsidR="00731035" w:rsidRPr="00731035" w:rsidRDefault="00731035" w:rsidP="00731035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undirliggjandi þáttur tilheyrir engum framangreindra flokka skal verðbréfalýsingin hafa að geyma samsvarandi upplýsingar.</w:t>
            </w:r>
          </w:p>
          <w:p w:rsidR="00731035" w:rsidRDefault="00731035" w:rsidP="007310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undirliggjandi þáttur er safn af mismunandi undirliggjandi þáttum,</w:t>
            </w:r>
          </w:p>
          <w:p w:rsidR="00731035" w:rsidRPr="00731035" w:rsidRDefault="00731035" w:rsidP="00731035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viðkomandi vægi þessara mismunandi þátta</w:t>
            </w:r>
          </w:p>
        </w:tc>
      </w:tr>
      <w:tr w:rsidR="00731035" w:rsidRPr="009C0ABD" w:rsidTr="00855260">
        <w:trPr>
          <w:trHeight w:val="333"/>
        </w:trPr>
        <w:tc>
          <w:tcPr>
            <w:tcW w:w="1101" w:type="dxa"/>
          </w:tcPr>
          <w:p w:rsidR="00731035" w:rsidRPr="009C0ABD" w:rsidRDefault="007310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731035" w:rsidRDefault="007310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4.2.3.</w:t>
            </w:r>
          </w:p>
        </w:tc>
        <w:tc>
          <w:tcPr>
            <w:tcW w:w="7380" w:type="dxa"/>
            <w:vAlign w:val="center"/>
          </w:tcPr>
          <w:p w:rsidR="00731035" w:rsidRPr="005470CF" w:rsidRDefault="00731035" w:rsidP="007310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hvers kyns röskun á markaði eða atburðum sem valda röskun á greiðsluuppgjöri sem hafa áhrif á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undirliggjandi þætti.</w:t>
            </w:r>
          </w:p>
        </w:tc>
      </w:tr>
      <w:tr w:rsidR="005470CF" w:rsidRPr="009C0ABD" w:rsidTr="00855260">
        <w:trPr>
          <w:trHeight w:val="333"/>
        </w:trPr>
        <w:tc>
          <w:tcPr>
            <w:tcW w:w="1101" w:type="dxa"/>
          </w:tcPr>
          <w:p w:rsidR="005470CF" w:rsidRPr="009C0ABD" w:rsidRDefault="005470CF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5470CF" w:rsidRDefault="007310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4.2.4.</w:t>
            </w:r>
          </w:p>
        </w:tc>
        <w:tc>
          <w:tcPr>
            <w:tcW w:w="7380" w:type="dxa"/>
            <w:vAlign w:val="center"/>
          </w:tcPr>
          <w:p w:rsidR="005470CF" w:rsidRPr="005470CF" w:rsidRDefault="007310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7310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Leiðréttingarreglur sem tengjast atburðum sem hafa áhrif á undirliggjandi þætti.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SKILMÁLAR OG SKILYRÐI FYRIR ÚTBOÐINU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5.1.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Skilyrði, tölfræðilegar upplýsingar um útboð, fyrirhuguð tímaáætlun og nauðsynlegar aðgerðir varðandi þátttöku</w:t>
            </w:r>
            <w:r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í útboðinu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5.1.1.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161EA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Skilyrði sem gilda um útboðið.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5.1.2.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Heildarfjárhæð útgáfu/útboðs. Ef fjárhæðin er ekki föst skal lýsa hvernig og hvenær fjárhæð útboðsins verður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tilkynnt opinberlega.</w:t>
            </w:r>
          </w:p>
        </w:tc>
      </w:tr>
      <w:tr w:rsidR="00161EA2" w:rsidRPr="009C0ABD" w:rsidTr="00855260">
        <w:trPr>
          <w:trHeight w:val="333"/>
        </w:trPr>
        <w:tc>
          <w:tcPr>
            <w:tcW w:w="1101" w:type="dxa"/>
          </w:tcPr>
          <w:p w:rsidR="00161EA2" w:rsidRPr="009C0ABD" w:rsidRDefault="00161EA2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61EA2" w:rsidRDefault="00161EA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5.1.3.</w:t>
            </w:r>
          </w:p>
        </w:tc>
        <w:tc>
          <w:tcPr>
            <w:tcW w:w="7380" w:type="dxa"/>
            <w:vAlign w:val="center"/>
          </w:tcPr>
          <w:p w:rsidR="00161EA2" w:rsidRPr="00111131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hversu lengi útboðið stendur, þ.m.t. hvers kyns mögulegar breytingar, og lýsing á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áskriftarferlinu.</w:t>
            </w:r>
          </w:p>
        </w:tc>
      </w:tr>
      <w:tr w:rsidR="00161EA2" w:rsidRPr="009C0ABD" w:rsidTr="00855260">
        <w:trPr>
          <w:trHeight w:val="333"/>
        </w:trPr>
        <w:tc>
          <w:tcPr>
            <w:tcW w:w="1101" w:type="dxa"/>
          </w:tcPr>
          <w:p w:rsidR="00161EA2" w:rsidRPr="009C0ABD" w:rsidRDefault="00161EA2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61EA2" w:rsidRDefault="00161EA2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5.1.4.</w:t>
            </w:r>
          </w:p>
        </w:tc>
        <w:tc>
          <w:tcPr>
            <w:tcW w:w="7380" w:type="dxa"/>
            <w:vAlign w:val="center"/>
          </w:tcPr>
          <w:p w:rsidR="00161EA2" w:rsidRPr="00111131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Ítarlegar upplýsingar um lágmarks- og/eða hámarksfjárhæð áskriftar (hvort sem um er að ræða fjölda verðbréfa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eða samanlagða fjárfestingarfjárhæð).</w:t>
            </w:r>
          </w:p>
        </w:tc>
      </w:tr>
      <w:tr w:rsidR="00407A35" w:rsidRPr="009C0ABD" w:rsidTr="00855260">
        <w:trPr>
          <w:trHeight w:val="333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5.1.5.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Skipulag og tímamörk fyrir greiðslu og afhendingu verðbréfa.</w:t>
            </w:r>
          </w:p>
        </w:tc>
      </w:tr>
      <w:tr w:rsidR="00407A35" w:rsidRPr="009C0ABD" w:rsidTr="00855260">
        <w:trPr>
          <w:trHeight w:val="333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5.1.6.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Ítarleg lýsing á því hvernig og hvenær niðurstöður útboðsins verða birtar opinberlega.</w:t>
            </w:r>
          </w:p>
        </w:tc>
      </w:tr>
      <w:tr w:rsidR="00407A35" w:rsidRPr="009C0ABD" w:rsidTr="00855260">
        <w:trPr>
          <w:trHeight w:val="215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5.2.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Skipulag dreifingar og úthlutunar</w:t>
            </w:r>
          </w:p>
        </w:tc>
      </w:tr>
      <w:tr w:rsidR="00407A35" w:rsidRPr="009C0ABD" w:rsidTr="00855260">
        <w:trPr>
          <w:trHeight w:val="333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5.2.1.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Mismunandi flokkar mögulegra fjárfesta sem verðbréfin eru boðin til kaups. Ef útboð fer fram samtímis á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mörkuðum í tveimur eða fleiri löndum og ef ákveðinn hluti hefur verið tekinn eða er tekinn frá fyrir einhverja af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þessum mörkuðum skulu allir slíkir hlutar tilgreindir.</w:t>
            </w:r>
          </w:p>
        </w:tc>
      </w:tr>
      <w:tr w:rsidR="00407A35" w:rsidRPr="009C0ABD" w:rsidTr="00855260">
        <w:trPr>
          <w:trHeight w:val="28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5.2.2.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Aðferð við tilkynningu til umsækjenda um fjárhæðina sem þeim er úthlutað ásamt upplýsingum um hvort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viðskipti megi hefjast áður en tilkynning berst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lastRenderedPageBreak/>
              <w:t>þeim.</w:t>
            </w:r>
          </w:p>
        </w:tc>
      </w:tr>
      <w:tr w:rsidR="00407A35" w:rsidRPr="009C0ABD" w:rsidTr="00855260">
        <w:trPr>
          <w:trHeight w:val="686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5.3.</w:t>
            </w:r>
          </w:p>
        </w:tc>
        <w:tc>
          <w:tcPr>
            <w:tcW w:w="7380" w:type="dxa"/>
            <w:vAlign w:val="center"/>
          </w:tcPr>
          <w:p w:rsid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Verðlagning</w:t>
            </w:r>
          </w:p>
          <w:p w:rsid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</w:p>
          <w:p w:rsidR="00407A35" w:rsidRPr="00407A35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fyrirhugað verð sem verðbréfin verða boðin til kaups á eða aðferð sem er notuð til að ákvarða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útboðsverð og birtingu þess. Upplýsa skal um fjárhæð allra útgjalda og skatta sem áskrifandi eða kaupandi verða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sérstaklega krafðir um.</w:t>
            </w:r>
          </w:p>
        </w:tc>
      </w:tr>
      <w:tr w:rsidR="00407A35" w:rsidRPr="009C0ABD" w:rsidTr="00855260">
        <w:trPr>
          <w:trHeight w:val="28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5.4.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  <w:t>Markaðssetning og/eða sala og sölutrygging</w:t>
            </w:r>
          </w:p>
        </w:tc>
      </w:tr>
      <w:tr w:rsidR="00407A35" w:rsidRPr="009C0ABD" w:rsidTr="00855260">
        <w:trPr>
          <w:trHeight w:val="345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5.4.1.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Nafn og heimilisfang þess eða þeirra sem hafa umsjón með heildarútboðinu eða einstaka hlutum þess og, að því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marki sem útgefanda eða tilboðsgjafa er kunnugt um, þeirra sem markaðssetja og/eða selja verðbréfin í hinum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ýmsu löndum þar sem útboðið fer fram.</w:t>
            </w:r>
          </w:p>
        </w:tc>
      </w:tr>
      <w:tr w:rsidR="00407A35" w:rsidRPr="009C0ABD" w:rsidTr="00855260">
        <w:trPr>
          <w:trHeight w:val="192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5.4.2.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Nafn og heimilisfang þeirra aðila sem annast greiðslur og vörsluaðila í hverju landi fyrir sig.</w:t>
            </w:r>
          </w:p>
        </w:tc>
      </w:tr>
      <w:tr w:rsidR="00407A35" w:rsidRPr="009C0ABD" w:rsidTr="00855260">
        <w:trPr>
          <w:trHeight w:val="555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5.4.3.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Nöfn og heimilisföng aðila sem hafa samþykkt með bindandi samkomulagi að sölutryggja útgáfuna og nöfn og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heimilisföng aðila sem hafa samþykkt að markaðssetja og/eða selja útgáfuna án bindandi samkomulags eða eftir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bestu getu. Sé útgáfan ekki öll sölutryggð skal tilgreina þann hluta sem sölutrygging nær ekki til.</w:t>
            </w:r>
          </w:p>
        </w:tc>
      </w:tr>
      <w:tr w:rsidR="00407A35" w:rsidRPr="009C0ABD" w:rsidTr="00855260">
        <w:trPr>
          <w:trHeight w:val="333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5.4.4.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hvenær samningur um sölutryggingu hafi verið eða verði samþykktur.</w:t>
            </w:r>
          </w:p>
        </w:tc>
      </w:tr>
      <w:tr w:rsidR="00407A35" w:rsidRPr="009C0ABD" w:rsidTr="00855260">
        <w:trPr>
          <w:trHeight w:val="333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5.4.5.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Nafn og heimilisfang þess einstaklings sem sér um útreikning.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6.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SKRÁNING Á MARKAÐ OG FYRIRKOMULAG VIÐSKIPTA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6.1.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hvort sótt hafi verið eða sótt verði um skráningu á verðbréfunum, sem eru boðin til kaups, á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skipulegan verðbréfamarkað eða aðra sambærilega markaði ásamt upplýsingum um viðkomandi markaði. Nefna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skal þessar aðstæður án þess að gefið sé í skyn að skráningin verði endilega 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amþykkt. Tilgreina skal þá daga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þegar í fyrsta lagi er hægt að skrá verðbréfin, ef vitað er um þá.</w:t>
            </w:r>
          </w:p>
        </w:tc>
      </w:tr>
      <w:tr w:rsidR="00407A35" w:rsidRPr="009C0ABD" w:rsidTr="00855260">
        <w:trPr>
          <w:trHeight w:val="333"/>
        </w:trPr>
        <w:tc>
          <w:tcPr>
            <w:tcW w:w="1101" w:type="dxa"/>
          </w:tcPr>
          <w:p w:rsidR="00407A35" w:rsidRPr="009C0ABD" w:rsidRDefault="00407A3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407A35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6.2.</w:t>
            </w:r>
          </w:p>
        </w:tc>
        <w:tc>
          <w:tcPr>
            <w:tcW w:w="7380" w:type="dxa"/>
            <w:vAlign w:val="center"/>
          </w:tcPr>
          <w:p w:rsidR="00407A35" w:rsidRPr="00161EA2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Tilgreina skal alla skipulega verðbréfamarkaði eða sambærilega markaði, sem útgefandi hefur vitneskju um, þar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sem verðbréf í sama flokki og verðbréfin sem á að bjóða til kaups eða skrá á markað, hafa þegar verið skráð.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6.3.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aðila sem hafa gert bindandi samkomulag um að starfa sem milliliðir (intermediaries) á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eftirmarkaði og búa til seljanleika (liquidity) með kaup- og sölutilboðum ásamt lýsingu á helstu skilmálum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samkomulagsins.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VIÐBÓTARUPPLÝSINGAR</w:t>
            </w:r>
          </w:p>
        </w:tc>
      </w:tr>
      <w:tr w:rsidR="00111131" w:rsidRPr="009C0ABD" w:rsidTr="00855260">
        <w:trPr>
          <w:trHeight w:val="333"/>
        </w:trPr>
        <w:tc>
          <w:tcPr>
            <w:tcW w:w="1101" w:type="dxa"/>
          </w:tcPr>
          <w:p w:rsidR="00111131" w:rsidRPr="009C0ABD" w:rsidRDefault="00111131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111131" w:rsidRDefault="00111131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7.1.</w:t>
            </w:r>
          </w:p>
        </w:tc>
        <w:tc>
          <w:tcPr>
            <w:tcW w:w="7380" w:type="dxa"/>
            <w:vAlign w:val="center"/>
          </w:tcPr>
          <w:p w:rsidR="00111131" w:rsidRPr="00111131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ráðgjafa í tengslum við útgáfu er getið í verðbréfalýsingunni skal birta yfirlýsingu þar sem fram kemur hvert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hlutverk þeirra hefur verið.</w:t>
            </w:r>
          </w:p>
        </w:tc>
      </w:tr>
      <w:tr w:rsidR="00245485" w:rsidRPr="009C0ABD" w:rsidTr="00855260">
        <w:trPr>
          <w:trHeight w:val="333"/>
        </w:trPr>
        <w:tc>
          <w:tcPr>
            <w:tcW w:w="1101" w:type="dxa"/>
          </w:tcPr>
          <w:p w:rsidR="00245485" w:rsidRPr="009C0ABD" w:rsidRDefault="00245485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245485" w:rsidRDefault="0024548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7.2.</w:t>
            </w:r>
          </w:p>
        </w:tc>
        <w:tc>
          <w:tcPr>
            <w:tcW w:w="7380" w:type="dxa"/>
            <w:vAlign w:val="center"/>
          </w:tcPr>
          <w:p w:rsidR="00245485" w:rsidRPr="008844A6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önnur gögn í verðbréfalýsingunni sem löggiltir endurskoðendur hafa endurskoðað eða kannað og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endurskoðendur hafa lagt fram skýrslu. Endursögn skýrslunnar eða, með samþykki lögbærs yfirvalds,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samantekt á henni.</w:t>
            </w:r>
          </w:p>
        </w:tc>
      </w:tr>
      <w:tr w:rsidR="008844A6" w:rsidRPr="009C0ABD" w:rsidTr="00855260">
        <w:trPr>
          <w:trHeight w:val="333"/>
        </w:trPr>
        <w:tc>
          <w:tcPr>
            <w:tcW w:w="1101" w:type="dxa"/>
          </w:tcPr>
          <w:p w:rsidR="008844A6" w:rsidRPr="009C0ABD" w:rsidRDefault="008844A6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8844A6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7.3.</w:t>
            </w:r>
          </w:p>
        </w:tc>
        <w:tc>
          <w:tcPr>
            <w:tcW w:w="7380" w:type="dxa"/>
            <w:vAlign w:val="center"/>
          </w:tcPr>
          <w:p w:rsidR="008844A6" w:rsidRPr="008844A6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verðbréfalýsing hefur að geyma greinargerð eða skýrslu frá sérfræðingi skal tilgreina nafn þessa einstaklings,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heimilisfang vinnustaðar, menntun hans og hæfi og hvort hann hafi verulegra hagsmuna að gæta gagnvart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útgefandanum. Ef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lastRenderedPageBreak/>
              <w:t>skýrslan er samin að beiðni útgefanda skal gefa yfirlýsingu um að slík yfirlýsing eða skýrsla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fylgi, á hvaða formi og í hvaða samhengi hún er ásamt samþykki þess einstaklings sem hefur heimilað efni þessa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hluta verðbréfalýsingarinnar.</w:t>
            </w:r>
          </w:p>
        </w:tc>
      </w:tr>
      <w:tr w:rsidR="008844A6" w:rsidRPr="009C0ABD" w:rsidTr="00855260">
        <w:trPr>
          <w:trHeight w:val="333"/>
        </w:trPr>
        <w:tc>
          <w:tcPr>
            <w:tcW w:w="1101" w:type="dxa"/>
          </w:tcPr>
          <w:p w:rsidR="008844A6" w:rsidRPr="009C0ABD" w:rsidRDefault="008844A6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8844A6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7.4.</w:t>
            </w:r>
          </w:p>
        </w:tc>
        <w:tc>
          <w:tcPr>
            <w:tcW w:w="7380" w:type="dxa"/>
            <w:vAlign w:val="center"/>
          </w:tcPr>
          <w:p w:rsidR="00407A35" w:rsidRPr="00407A35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upplýsingar eru fengnar frá þriðja aðila skal útgefandi, að svo miklu leyti sem honum er kunnugt um og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honum er unnt, út frá þeim upplýsingum sem þriðji aðilinn hefur birt, láta í té staðfestingu þess efnis að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upplýsingarnar séu réttar og að engum staðreyndum sé sleppt sem geri upplýsingarnar ónákvæmar eða</w:t>
            </w:r>
          </w:p>
          <w:p w:rsidR="008844A6" w:rsidRPr="008844A6" w:rsidRDefault="00407A35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misvísandi. Þar að auki skal útgefandi tilgreina uppruna upplýsinganna.</w:t>
            </w:r>
          </w:p>
        </w:tc>
      </w:tr>
      <w:tr w:rsidR="008844A6" w:rsidRPr="009C0ABD" w:rsidTr="00855260">
        <w:trPr>
          <w:trHeight w:val="333"/>
        </w:trPr>
        <w:tc>
          <w:tcPr>
            <w:tcW w:w="1101" w:type="dxa"/>
          </w:tcPr>
          <w:p w:rsidR="008844A6" w:rsidRPr="009C0ABD" w:rsidRDefault="008844A6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8844A6" w:rsidRDefault="00407A35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7.5.</w:t>
            </w:r>
          </w:p>
        </w:tc>
        <w:tc>
          <w:tcPr>
            <w:tcW w:w="7380" w:type="dxa"/>
            <w:vAlign w:val="center"/>
          </w:tcPr>
          <w:p w:rsidR="008844A6" w:rsidRPr="008844A6" w:rsidRDefault="00AE10F1" w:rsidP="00AE10F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E10F1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Gefa skal upplýsingar um það í lýsingunni hvort útgefandinn hyggist láta í té upplýsingar að útgáfu lokinni. Ef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E10F1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útgefandi hefur gefið til kynna að hann hyggist greina frá slíkum upplýsingum skal útgefandinn tilgreina í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E10F1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lýsingunni frá hvaða upplýsingum verður greint og hvar hægt sé að finna þær.</w:t>
            </w:r>
          </w:p>
        </w:tc>
      </w:tr>
    </w:tbl>
    <w:p w:rsidR="001C48A2" w:rsidRPr="00A12814" w:rsidRDefault="001C48A2" w:rsidP="00A12814">
      <w:pPr>
        <w:ind w:left="-180" w:firstLine="180"/>
        <w:rPr>
          <w:lang w:val="is-IS"/>
        </w:rPr>
      </w:pPr>
    </w:p>
    <w:sectPr w:rsidR="001C48A2" w:rsidRPr="00A12814" w:rsidSect="007A3D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C6" w:rsidRDefault="00E875C6">
      <w:r>
        <w:separator/>
      </w:r>
    </w:p>
  </w:endnote>
  <w:endnote w:type="continuationSeparator" w:id="0">
    <w:p w:rsidR="00E875C6" w:rsidRDefault="00E8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C6" w:rsidRDefault="00E875C6" w:rsidP="007B7AF3">
    <w:pPr>
      <w:pStyle w:val="Footer"/>
      <w:jc w:val="center"/>
      <w:rPr>
        <w:sz w:val="20"/>
        <w:szCs w:val="20"/>
      </w:rPr>
    </w:pPr>
  </w:p>
  <w:p w:rsidR="00E875C6" w:rsidRPr="007B7AF3" w:rsidRDefault="00E875C6" w:rsidP="007B7AF3">
    <w:pPr>
      <w:pStyle w:val="Footer"/>
      <w:jc w:val="center"/>
      <w:rPr>
        <w:sz w:val="20"/>
        <w:szCs w:val="20"/>
      </w:rPr>
    </w:pPr>
    <w:r w:rsidRPr="007B7AF3">
      <w:rPr>
        <w:sz w:val="20"/>
        <w:szCs w:val="20"/>
      </w:rPr>
      <w:fldChar w:fldCharType="begin"/>
    </w:r>
    <w:r w:rsidRPr="007B7AF3">
      <w:rPr>
        <w:sz w:val="20"/>
        <w:szCs w:val="20"/>
      </w:rPr>
      <w:instrText xml:space="preserve"> PAGE </w:instrText>
    </w:r>
    <w:r w:rsidRPr="007B7AF3">
      <w:rPr>
        <w:sz w:val="20"/>
        <w:szCs w:val="20"/>
      </w:rPr>
      <w:fldChar w:fldCharType="separate"/>
    </w:r>
    <w:r w:rsidR="00FE5AEC">
      <w:rPr>
        <w:noProof/>
        <w:sz w:val="20"/>
        <w:szCs w:val="20"/>
      </w:rPr>
      <w:t>2</w:t>
    </w:r>
    <w:r w:rsidRPr="007B7AF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C6" w:rsidRDefault="00E875C6" w:rsidP="007B7AF3">
    <w:pPr>
      <w:pStyle w:val="Footer"/>
      <w:jc w:val="center"/>
    </w:pPr>
    <w:r w:rsidRPr="007B7AF3">
      <w:rPr>
        <w:sz w:val="20"/>
        <w:szCs w:val="20"/>
      </w:rPr>
      <w:fldChar w:fldCharType="begin"/>
    </w:r>
    <w:r w:rsidRPr="007B7AF3">
      <w:rPr>
        <w:sz w:val="20"/>
        <w:szCs w:val="20"/>
      </w:rPr>
      <w:instrText xml:space="preserve"> PAGE </w:instrText>
    </w:r>
    <w:r w:rsidRPr="007B7AF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B7A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C6" w:rsidRDefault="00E875C6">
      <w:r>
        <w:separator/>
      </w:r>
    </w:p>
  </w:footnote>
  <w:footnote w:type="continuationSeparator" w:id="0">
    <w:p w:rsidR="00E875C6" w:rsidRDefault="00E8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C6" w:rsidRPr="007A3D9E" w:rsidRDefault="00E875C6" w:rsidP="00292001">
    <w:pPr>
      <w:pStyle w:val="Header"/>
      <w:tabs>
        <w:tab w:val="clear" w:pos="9072"/>
        <w:tab w:val="right" w:pos="9214"/>
      </w:tabs>
      <w:rPr>
        <w:sz w:val="16"/>
        <w:szCs w:val="16"/>
        <w:lang w:val="is-IS"/>
      </w:rPr>
    </w:pPr>
    <w:r>
      <w:rPr>
        <w:noProof/>
        <w:lang w:val="is-IS" w:eastAsia="is-IS"/>
      </w:rPr>
      <w:drawing>
        <wp:anchor distT="0" distB="0" distL="114300" distR="114300" simplePos="0" relativeHeight="251659264" behindDoc="0" locked="1" layoutInCell="1" allowOverlap="1" wp14:anchorId="249ADFE4" wp14:editId="648BEA85">
          <wp:simplePos x="0" y="0"/>
          <wp:positionH relativeFrom="column">
            <wp:posOffset>2195195</wp:posOffset>
          </wp:positionH>
          <wp:positionV relativeFrom="paragraph">
            <wp:posOffset>-58420</wp:posOffset>
          </wp:positionV>
          <wp:extent cx="1586865" cy="547370"/>
          <wp:effectExtent l="0" t="0" r="0" b="508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31">
      <w:rPr>
        <w:lang w:val="is-IS"/>
      </w:rPr>
      <w:t>(Málsnúmer)</w:t>
    </w:r>
    <w:r>
      <w:rPr>
        <w:sz w:val="16"/>
        <w:szCs w:val="16"/>
        <w:lang w:val="is-IS"/>
      </w:rPr>
      <w:tab/>
    </w:r>
    <w:r>
      <w:rPr>
        <w:sz w:val="16"/>
        <w:szCs w:val="16"/>
        <w:lang w:val="is-IS"/>
      </w:rPr>
      <w:tab/>
      <w:t>XII</w:t>
    </w:r>
    <w:r w:rsidRPr="007A3D9E">
      <w:rPr>
        <w:sz w:val="16"/>
        <w:szCs w:val="16"/>
        <w:lang w:val="is-IS"/>
      </w:rPr>
      <w:t>. Viðauki</w:t>
    </w:r>
  </w:p>
  <w:p w:rsidR="00E875C6" w:rsidRPr="007A3D9E" w:rsidRDefault="00E875C6" w:rsidP="00C00631">
    <w:pPr>
      <w:pStyle w:val="Header"/>
      <w:rPr>
        <w:sz w:val="16"/>
        <w:szCs w:val="16"/>
        <w:lang w:val="is-IS"/>
      </w:rPr>
    </w:pPr>
    <w:r>
      <w:rPr>
        <w:sz w:val="16"/>
        <w:szCs w:val="16"/>
        <w:lang w:val="is-IS"/>
      </w:rPr>
      <w:t>Verðbréfalýsing</w:t>
    </w:r>
    <w:r w:rsidRPr="007A3D9E">
      <w:rPr>
        <w:sz w:val="16"/>
        <w:szCs w:val="16"/>
        <w:lang w:val="is-IS"/>
      </w:rPr>
      <w:t>, X. drög</w:t>
    </w:r>
  </w:p>
  <w:p w:rsidR="00E875C6" w:rsidRPr="007A3D9E" w:rsidRDefault="00E875C6" w:rsidP="00C00631">
    <w:pPr>
      <w:pStyle w:val="Header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dags XX.XX.XXXX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C6" w:rsidRPr="002B0E36" w:rsidRDefault="00E875C6" w:rsidP="002B0E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2D"/>
    <w:multiLevelType w:val="hybridMultilevel"/>
    <w:tmpl w:val="9674845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57E"/>
    <w:multiLevelType w:val="hybridMultilevel"/>
    <w:tmpl w:val="20269A0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B89"/>
    <w:multiLevelType w:val="hybridMultilevel"/>
    <w:tmpl w:val="13BA029C"/>
    <w:lvl w:ilvl="0" w:tplc="81983A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50C"/>
    <w:multiLevelType w:val="hybridMultilevel"/>
    <w:tmpl w:val="C2A8283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1F1F"/>
    <w:multiLevelType w:val="hybridMultilevel"/>
    <w:tmpl w:val="370AE03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A48"/>
    <w:multiLevelType w:val="hybridMultilevel"/>
    <w:tmpl w:val="396AF5B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7F5F"/>
    <w:multiLevelType w:val="hybridMultilevel"/>
    <w:tmpl w:val="6D70CEE6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53E6"/>
    <w:multiLevelType w:val="hybridMultilevel"/>
    <w:tmpl w:val="B35A230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79A4"/>
    <w:multiLevelType w:val="hybridMultilevel"/>
    <w:tmpl w:val="3A92846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3E6"/>
    <w:multiLevelType w:val="hybridMultilevel"/>
    <w:tmpl w:val="AE50BAC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05C2"/>
    <w:multiLevelType w:val="hybridMultilevel"/>
    <w:tmpl w:val="85EC32E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25224"/>
    <w:multiLevelType w:val="hybridMultilevel"/>
    <w:tmpl w:val="F7C28C5E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7E1E"/>
    <w:multiLevelType w:val="hybridMultilevel"/>
    <w:tmpl w:val="6D94699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226B"/>
    <w:multiLevelType w:val="hybridMultilevel"/>
    <w:tmpl w:val="4086B14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F04DE"/>
    <w:multiLevelType w:val="hybridMultilevel"/>
    <w:tmpl w:val="EB20CF58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25F"/>
    <w:multiLevelType w:val="hybridMultilevel"/>
    <w:tmpl w:val="26CA928E"/>
    <w:lvl w:ilvl="0" w:tplc="14CAD6F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1492D"/>
    <w:multiLevelType w:val="hybridMultilevel"/>
    <w:tmpl w:val="22B4C170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66FB9"/>
    <w:multiLevelType w:val="hybridMultilevel"/>
    <w:tmpl w:val="B316C31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4C64"/>
    <w:multiLevelType w:val="hybridMultilevel"/>
    <w:tmpl w:val="DBCCA5E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77814"/>
    <w:multiLevelType w:val="hybridMultilevel"/>
    <w:tmpl w:val="C9A08DC4"/>
    <w:lvl w:ilvl="0" w:tplc="CB0C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C3053"/>
    <w:multiLevelType w:val="hybridMultilevel"/>
    <w:tmpl w:val="201412B4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76392"/>
    <w:multiLevelType w:val="hybridMultilevel"/>
    <w:tmpl w:val="62049D5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7430F"/>
    <w:multiLevelType w:val="hybridMultilevel"/>
    <w:tmpl w:val="A69649EE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75E4B"/>
    <w:multiLevelType w:val="hybridMultilevel"/>
    <w:tmpl w:val="425894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737AE"/>
    <w:multiLevelType w:val="hybridMultilevel"/>
    <w:tmpl w:val="76CE3BE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41FDD"/>
    <w:multiLevelType w:val="hybridMultilevel"/>
    <w:tmpl w:val="B44408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2698C"/>
    <w:multiLevelType w:val="hybridMultilevel"/>
    <w:tmpl w:val="D64CA74A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143EC"/>
    <w:multiLevelType w:val="hybridMultilevel"/>
    <w:tmpl w:val="1008878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7365F"/>
    <w:multiLevelType w:val="hybridMultilevel"/>
    <w:tmpl w:val="269EF44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D7A42"/>
    <w:multiLevelType w:val="hybridMultilevel"/>
    <w:tmpl w:val="1FE4E8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57FD"/>
    <w:multiLevelType w:val="hybridMultilevel"/>
    <w:tmpl w:val="2C3EB76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833AC"/>
    <w:multiLevelType w:val="hybridMultilevel"/>
    <w:tmpl w:val="A858D90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F6900"/>
    <w:multiLevelType w:val="hybridMultilevel"/>
    <w:tmpl w:val="9E20C5E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87298"/>
    <w:multiLevelType w:val="hybridMultilevel"/>
    <w:tmpl w:val="29145F9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F272B"/>
    <w:multiLevelType w:val="hybridMultilevel"/>
    <w:tmpl w:val="918C0D3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30490"/>
    <w:multiLevelType w:val="hybridMultilevel"/>
    <w:tmpl w:val="70306858"/>
    <w:lvl w:ilvl="0" w:tplc="3410A410">
      <w:start w:val="3"/>
      <w:numFmt w:val="bullet"/>
      <w:lvlText w:val="–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F478B7"/>
    <w:multiLevelType w:val="hybridMultilevel"/>
    <w:tmpl w:val="EF924336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B23F8"/>
    <w:multiLevelType w:val="hybridMultilevel"/>
    <w:tmpl w:val="1CBCD8A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72332"/>
    <w:multiLevelType w:val="hybridMultilevel"/>
    <w:tmpl w:val="A40E25C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53704"/>
    <w:multiLevelType w:val="hybridMultilevel"/>
    <w:tmpl w:val="2F52B3A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7714E"/>
    <w:multiLevelType w:val="hybridMultilevel"/>
    <w:tmpl w:val="2F7E65D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0"/>
  </w:num>
  <w:num w:numId="4">
    <w:abstractNumId w:val="5"/>
  </w:num>
  <w:num w:numId="5">
    <w:abstractNumId w:val="25"/>
  </w:num>
  <w:num w:numId="6">
    <w:abstractNumId w:val="6"/>
  </w:num>
  <w:num w:numId="7">
    <w:abstractNumId w:val="15"/>
  </w:num>
  <w:num w:numId="8">
    <w:abstractNumId w:val="16"/>
  </w:num>
  <w:num w:numId="9">
    <w:abstractNumId w:val="26"/>
  </w:num>
  <w:num w:numId="10">
    <w:abstractNumId w:val="2"/>
  </w:num>
  <w:num w:numId="11">
    <w:abstractNumId w:val="3"/>
  </w:num>
  <w:num w:numId="12">
    <w:abstractNumId w:val="14"/>
  </w:num>
  <w:num w:numId="13">
    <w:abstractNumId w:val="38"/>
  </w:num>
  <w:num w:numId="14">
    <w:abstractNumId w:val="37"/>
  </w:num>
  <w:num w:numId="15">
    <w:abstractNumId w:val="32"/>
  </w:num>
  <w:num w:numId="16">
    <w:abstractNumId w:val="11"/>
  </w:num>
  <w:num w:numId="17">
    <w:abstractNumId w:val="24"/>
  </w:num>
  <w:num w:numId="18">
    <w:abstractNumId w:val="22"/>
  </w:num>
  <w:num w:numId="19">
    <w:abstractNumId w:val="30"/>
  </w:num>
  <w:num w:numId="20">
    <w:abstractNumId w:val="21"/>
  </w:num>
  <w:num w:numId="21">
    <w:abstractNumId w:val="12"/>
  </w:num>
  <w:num w:numId="22">
    <w:abstractNumId w:val="28"/>
  </w:num>
  <w:num w:numId="23">
    <w:abstractNumId w:val="1"/>
  </w:num>
  <w:num w:numId="24">
    <w:abstractNumId w:val="20"/>
  </w:num>
  <w:num w:numId="25">
    <w:abstractNumId w:val="31"/>
  </w:num>
  <w:num w:numId="26">
    <w:abstractNumId w:val="23"/>
  </w:num>
  <w:num w:numId="27">
    <w:abstractNumId w:val="4"/>
  </w:num>
  <w:num w:numId="28">
    <w:abstractNumId w:val="18"/>
  </w:num>
  <w:num w:numId="29">
    <w:abstractNumId w:val="9"/>
  </w:num>
  <w:num w:numId="30">
    <w:abstractNumId w:val="13"/>
  </w:num>
  <w:num w:numId="31">
    <w:abstractNumId w:val="0"/>
  </w:num>
  <w:num w:numId="32">
    <w:abstractNumId w:val="27"/>
  </w:num>
  <w:num w:numId="33">
    <w:abstractNumId w:val="40"/>
  </w:num>
  <w:num w:numId="34">
    <w:abstractNumId w:val="17"/>
  </w:num>
  <w:num w:numId="35">
    <w:abstractNumId w:val="29"/>
  </w:num>
  <w:num w:numId="36">
    <w:abstractNumId w:val="39"/>
  </w:num>
  <w:num w:numId="37">
    <w:abstractNumId w:val="7"/>
  </w:num>
  <w:num w:numId="38">
    <w:abstractNumId w:val="34"/>
  </w:num>
  <w:num w:numId="39">
    <w:abstractNumId w:val="35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4"/>
    <w:rsid w:val="00007C93"/>
    <w:rsid w:val="00036D2A"/>
    <w:rsid w:val="00052A6B"/>
    <w:rsid w:val="000A34D8"/>
    <w:rsid w:val="000F7090"/>
    <w:rsid w:val="00111131"/>
    <w:rsid w:val="001137B0"/>
    <w:rsid w:val="00120422"/>
    <w:rsid w:val="00126874"/>
    <w:rsid w:val="001349AB"/>
    <w:rsid w:val="00161EA2"/>
    <w:rsid w:val="001A10A9"/>
    <w:rsid w:val="001A17F0"/>
    <w:rsid w:val="001C48A2"/>
    <w:rsid w:val="001D2568"/>
    <w:rsid w:val="00221654"/>
    <w:rsid w:val="00227162"/>
    <w:rsid w:val="00230210"/>
    <w:rsid w:val="00245485"/>
    <w:rsid w:val="002735BC"/>
    <w:rsid w:val="00292001"/>
    <w:rsid w:val="002B0E36"/>
    <w:rsid w:val="0030196B"/>
    <w:rsid w:val="003175D5"/>
    <w:rsid w:val="00322D04"/>
    <w:rsid w:val="0032318D"/>
    <w:rsid w:val="00334FE6"/>
    <w:rsid w:val="003665B6"/>
    <w:rsid w:val="003B6EE4"/>
    <w:rsid w:val="00407A35"/>
    <w:rsid w:val="00435716"/>
    <w:rsid w:val="004562C7"/>
    <w:rsid w:val="0048355D"/>
    <w:rsid w:val="00486EEB"/>
    <w:rsid w:val="004F5358"/>
    <w:rsid w:val="005058E7"/>
    <w:rsid w:val="005470CF"/>
    <w:rsid w:val="00562EE2"/>
    <w:rsid w:val="0057427A"/>
    <w:rsid w:val="00590EEB"/>
    <w:rsid w:val="005B39EF"/>
    <w:rsid w:val="005D1D79"/>
    <w:rsid w:val="005D6763"/>
    <w:rsid w:val="00612D48"/>
    <w:rsid w:val="00620CA6"/>
    <w:rsid w:val="00626012"/>
    <w:rsid w:val="006C38A4"/>
    <w:rsid w:val="006D30AF"/>
    <w:rsid w:val="006F1AA6"/>
    <w:rsid w:val="00731035"/>
    <w:rsid w:val="00760B9F"/>
    <w:rsid w:val="007952D1"/>
    <w:rsid w:val="007A1364"/>
    <w:rsid w:val="007A3D9E"/>
    <w:rsid w:val="007A643C"/>
    <w:rsid w:val="007A7FC7"/>
    <w:rsid w:val="007B7AF3"/>
    <w:rsid w:val="00815DA0"/>
    <w:rsid w:val="00832D16"/>
    <w:rsid w:val="0084135F"/>
    <w:rsid w:val="00841558"/>
    <w:rsid w:val="008548E5"/>
    <w:rsid w:val="00855260"/>
    <w:rsid w:val="00861AF4"/>
    <w:rsid w:val="00862F31"/>
    <w:rsid w:val="008844A6"/>
    <w:rsid w:val="008969AD"/>
    <w:rsid w:val="008A10DA"/>
    <w:rsid w:val="008A207A"/>
    <w:rsid w:val="008A365F"/>
    <w:rsid w:val="008F5D1B"/>
    <w:rsid w:val="009057BA"/>
    <w:rsid w:val="009247E4"/>
    <w:rsid w:val="00925C31"/>
    <w:rsid w:val="009429D3"/>
    <w:rsid w:val="00956A8D"/>
    <w:rsid w:val="0096495E"/>
    <w:rsid w:val="009A4A8B"/>
    <w:rsid w:val="009C0ABD"/>
    <w:rsid w:val="009D3138"/>
    <w:rsid w:val="009F3FB6"/>
    <w:rsid w:val="00A12814"/>
    <w:rsid w:val="00A21FFA"/>
    <w:rsid w:val="00A27F98"/>
    <w:rsid w:val="00A50B13"/>
    <w:rsid w:val="00A61C67"/>
    <w:rsid w:val="00A8391C"/>
    <w:rsid w:val="00A91952"/>
    <w:rsid w:val="00AE10F1"/>
    <w:rsid w:val="00B5708E"/>
    <w:rsid w:val="00B73895"/>
    <w:rsid w:val="00BA1705"/>
    <w:rsid w:val="00BA3CA0"/>
    <w:rsid w:val="00BD75B7"/>
    <w:rsid w:val="00C00631"/>
    <w:rsid w:val="00C03E98"/>
    <w:rsid w:val="00C11235"/>
    <w:rsid w:val="00C25898"/>
    <w:rsid w:val="00C26FB8"/>
    <w:rsid w:val="00C83FBB"/>
    <w:rsid w:val="00C906FD"/>
    <w:rsid w:val="00C91AE9"/>
    <w:rsid w:val="00C97109"/>
    <w:rsid w:val="00CC2770"/>
    <w:rsid w:val="00CE35E2"/>
    <w:rsid w:val="00D152D6"/>
    <w:rsid w:val="00D23CF1"/>
    <w:rsid w:val="00DA6307"/>
    <w:rsid w:val="00DD7BCE"/>
    <w:rsid w:val="00E2426E"/>
    <w:rsid w:val="00E36869"/>
    <w:rsid w:val="00E45794"/>
    <w:rsid w:val="00E501B1"/>
    <w:rsid w:val="00E640FD"/>
    <w:rsid w:val="00E80D4B"/>
    <w:rsid w:val="00E875C6"/>
    <w:rsid w:val="00F207F2"/>
    <w:rsid w:val="00F2171A"/>
    <w:rsid w:val="00F31A29"/>
    <w:rsid w:val="00FD06D0"/>
    <w:rsid w:val="00FD1EBF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1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8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281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C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26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1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8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281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C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26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80BE-CCF0-41D5-8143-BE05838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Fjármálaeftirlitið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lastModifiedBy>FME Greipur Þ. Júlíusson</cp:lastModifiedBy>
  <cp:revision>2</cp:revision>
  <cp:lastPrinted>2011-12-16T14:59:00Z</cp:lastPrinted>
  <dcterms:created xsi:type="dcterms:W3CDTF">2011-12-21T16:10:00Z</dcterms:created>
  <dcterms:modified xsi:type="dcterms:W3CDTF">2015-08-18T09:51:00Z</dcterms:modified>
</cp:coreProperties>
</file>