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Default="002B0E36" w:rsidP="00A12814">
      <w:pPr>
        <w:rPr>
          <w:b/>
          <w:sz w:val="20"/>
          <w:szCs w:val="20"/>
          <w:lang w:val="is-IS"/>
        </w:rPr>
      </w:pPr>
    </w:p>
    <w:p w:rsidR="00A12814" w:rsidRPr="00C50CC4" w:rsidRDefault="00161EA2" w:rsidP="00A12814">
      <w:pPr>
        <w:rPr>
          <w:b/>
          <w:sz w:val="22"/>
          <w:szCs w:val="22"/>
          <w:lang w:val="is-IS" w:eastAsia="en-US"/>
        </w:rPr>
      </w:pPr>
      <w:r w:rsidRPr="00C50CC4">
        <w:rPr>
          <w:b/>
          <w:sz w:val="22"/>
          <w:szCs w:val="22"/>
          <w:lang w:val="is-IS"/>
        </w:rPr>
        <w:t>XI</w:t>
      </w:r>
      <w:r w:rsidR="00A12814" w:rsidRPr="00C50CC4">
        <w:rPr>
          <w:b/>
          <w:sz w:val="22"/>
          <w:szCs w:val="22"/>
          <w:lang w:val="is-IS"/>
        </w:rPr>
        <w:t>. VIÐAUKI – REGLUGERÐ FRAMKVÆMDASTJÓRNARINNAR (EB) nr. 809/2004 frá 29. apríl 2004</w:t>
      </w:r>
    </w:p>
    <w:p w:rsidR="00A12814" w:rsidRPr="00C50CC4" w:rsidRDefault="00A12814" w:rsidP="00A12814">
      <w:pPr>
        <w:ind w:left="720"/>
        <w:rPr>
          <w:b/>
          <w:color w:val="000000"/>
          <w:sz w:val="22"/>
          <w:szCs w:val="22"/>
          <w:lang w:val="is-IS" w:eastAsia="is-IS"/>
        </w:rPr>
      </w:pPr>
    </w:p>
    <w:p w:rsidR="00A12814" w:rsidRPr="00C50CC4" w:rsidRDefault="00A12814" w:rsidP="00A12814">
      <w:pPr>
        <w:rPr>
          <w:b/>
          <w:color w:val="000000"/>
          <w:sz w:val="22"/>
          <w:szCs w:val="22"/>
          <w:lang w:val="is-IS" w:eastAsia="is-IS"/>
        </w:rPr>
      </w:pPr>
      <w:r w:rsidRPr="00C50CC4">
        <w:rPr>
          <w:b/>
          <w:color w:val="000000"/>
          <w:sz w:val="22"/>
          <w:szCs w:val="22"/>
          <w:lang w:val="is-IS" w:eastAsia="is-IS"/>
        </w:rPr>
        <w:t xml:space="preserve">Sbr. tilgreint í 2. mgr. </w:t>
      </w:r>
      <w:proofErr w:type="spellStart"/>
      <w:r w:rsidRPr="00C50CC4">
        <w:rPr>
          <w:b/>
          <w:color w:val="000000"/>
          <w:sz w:val="22"/>
          <w:szCs w:val="22"/>
          <w:lang w:val="is-IS" w:eastAsia="is-IS"/>
        </w:rPr>
        <w:t>regl</w:t>
      </w:r>
      <w:proofErr w:type="spellEnd"/>
      <w:r w:rsidRPr="00C50CC4">
        <w:rPr>
          <w:b/>
          <w:color w:val="000000"/>
          <w:sz w:val="22"/>
          <w:szCs w:val="22"/>
          <w:lang w:val="is-IS" w:eastAsia="is-IS"/>
        </w:rPr>
        <w:t>. nr. 243/2006:</w:t>
      </w:r>
    </w:p>
    <w:p w:rsidR="00A12814" w:rsidRPr="00C50CC4" w:rsidRDefault="00A12814" w:rsidP="00A12814">
      <w:pPr>
        <w:rPr>
          <w:b/>
          <w:i/>
          <w:color w:val="000000"/>
          <w:sz w:val="22"/>
          <w:szCs w:val="22"/>
          <w:lang w:val="is-IS" w:eastAsia="is-IS"/>
        </w:rPr>
      </w:pPr>
      <w:r w:rsidRPr="00C50CC4">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C50CC4" w:rsidRDefault="00A12814" w:rsidP="00A12814">
      <w:pPr>
        <w:ind w:left="720"/>
        <w:rPr>
          <w:b/>
          <w:color w:val="000000"/>
          <w:sz w:val="22"/>
          <w:szCs w:val="22"/>
          <w:lang w:val="is-IS" w:eastAsia="is-IS"/>
        </w:rPr>
      </w:pPr>
    </w:p>
    <w:p w:rsidR="00A12814" w:rsidRPr="00C50CC4" w:rsidRDefault="00A12814" w:rsidP="00A12814">
      <w:pPr>
        <w:rPr>
          <w:b/>
          <w:sz w:val="22"/>
          <w:szCs w:val="22"/>
          <w:lang w:val="is-IS"/>
        </w:rPr>
      </w:pPr>
      <w:r w:rsidRPr="00C50CC4">
        <w:rPr>
          <w:b/>
          <w:sz w:val="22"/>
          <w:szCs w:val="22"/>
          <w:lang w:val="is-IS"/>
        </w:rPr>
        <w:t>Ef ósamræmi er á milli textans í þessu skjali og texta reglugerðar framkvæmdastjórnarinnar nr. 809/2004 er það texti reglugerðarinnar sem gildir.</w:t>
      </w:r>
    </w:p>
    <w:p w:rsidR="00841558" w:rsidRPr="00C50CC4" w:rsidRDefault="00841558" w:rsidP="004562C7">
      <w:pPr>
        <w:rPr>
          <w:b/>
          <w:color w:val="4F81BD" w:themeColor="accent1"/>
          <w:sz w:val="22"/>
          <w:szCs w:val="22"/>
          <w:lang w:val="is-IS"/>
        </w:rPr>
      </w:pPr>
    </w:p>
    <w:p w:rsidR="008969AD" w:rsidRPr="00C50CC4" w:rsidRDefault="008969AD" w:rsidP="00036D2A">
      <w:pPr>
        <w:rPr>
          <w:b/>
          <w:sz w:val="22"/>
          <w:szCs w:val="22"/>
          <w:lang w:val="is-IS"/>
        </w:rPr>
      </w:pPr>
    </w:p>
    <w:p w:rsidR="00161EA2" w:rsidRPr="00C50CC4" w:rsidRDefault="00161EA2" w:rsidP="00161EA2">
      <w:pPr>
        <w:autoSpaceDE w:val="0"/>
        <w:autoSpaceDN w:val="0"/>
        <w:adjustRightInd w:val="0"/>
        <w:jc w:val="center"/>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XI. VIÐAUKI</w:t>
      </w:r>
    </w:p>
    <w:p w:rsidR="00161EA2" w:rsidRPr="00C50CC4" w:rsidRDefault="00161EA2" w:rsidP="00161EA2">
      <w:pPr>
        <w:autoSpaceDE w:val="0"/>
        <w:autoSpaceDN w:val="0"/>
        <w:adjustRightInd w:val="0"/>
        <w:jc w:val="center"/>
        <w:rPr>
          <w:rFonts w:ascii="TimesNewRoman,Bold" w:hAnsi="TimesNewRoman,Bold" w:cs="TimesNewRoman,Bold"/>
          <w:b/>
          <w:bCs/>
          <w:sz w:val="22"/>
          <w:szCs w:val="22"/>
          <w:lang w:val="is-IS" w:eastAsia="is-IS"/>
        </w:rPr>
      </w:pPr>
    </w:p>
    <w:p w:rsidR="00435716" w:rsidRPr="00C50CC4" w:rsidRDefault="00161EA2" w:rsidP="00161EA2">
      <w:pPr>
        <w:ind w:left="-180" w:firstLine="180"/>
        <w:jc w:val="center"/>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Lágmarkskröfur um upplýsingar sem koma eiga fram í útgefandalýsingu fyrir banka (grunnskjal)</w:t>
      </w:r>
    </w:p>
    <w:p w:rsidR="00161EA2" w:rsidRDefault="00161EA2" w:rsidP="00161EA2">
      <w:pPr>
        <w:ind w:left="-180" w:firstLine="180"/>
        <w:rPr>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01"/>
        <w:gridCol w:w="850"/>
        <w:gridCol w:w="7697"/>
      </w:tblGrid>
      <w:tr w:rsidR="00C50CC4" w:rsidRPr="00C50CC4" w:rsidTr="00C50CC4">
        <w:tc>
          <w:tcPr>
            <w:tcW w:w="1101" w:type="dxa"/>
            <w:vAlign w:val="center"/>
          </w:tcPr>
          <w:p w:rsidR="00C50CC4" w:rsidRPr="009C0ABD" w:rsidRDefault="00C50CC4" w:rsidP="0061041F">
            <w:pPr>
              <w:rPr>
                <w:b/>
                <w:color w:val="FF0000"/>
                <w:sz w:val="22"/>
                <w:szCs w:val="22"/>
                <w:lang w:val="is-IS"/>
              </w:rPr>
            </w:pPr>
            <w:r>
              <w:rPr>
                <w:b/>
                <w:color w:val="FF0000"/>
                <w:sz w:val="22"/>
                <w:szCs w:val="22"/>
                <w:lang w:val="is-IS"/>
              </w:rPr>
              <w:t>Bls.</w:t>
            </w:r>
          </w:p>
        </w:tc>
        <w:tc>
          <w:tcPr>
            <w:tcW w:w="850" w:type="dxa"/>
            <w:vAlign w:val="center"/>
          </w:tcPr>
          <w:p w:rsidR="00C50CC4" w:rsidRPr="009C0ABD" w:rsidRDefault="00C50CC4" w:rsidP="0061041F">
            <w:pPr>
              <w:rPr>
                <w:b/>
                <w:sz w:val="22"/>
                <w:szCs w:val="22"/>
                <w:lang w:val="is-IS"/>
              </w:rPr>
            </w:pPr>
            <w:r>
              <w:rPr>
                <w:b/>
                <w:sz w:val="22"/>
                <w:szCs w:val="22"/>
                <w:lang w:val="is-IS"/>
              </w:rPr>
              <w:t>Liður</w:t>
            </w:r>
          </w:p>
        </w:tc>
        <w:tc>
          <w:tcPr>
            <w:tcW w:w="7697" w:type="dxa"/>
            <w:vAlign w:val="center"/>
          </w:tcPr>
          <w:p w:rsidR="00C50CC4" w:rsidRPr="00350549" w:rsidRDefault="00C50CC4" w:rsidP="0061041F">
            <w:pPr>
              <w:rPr>
                <w:b/>
                <w:sz w:val="22"/>
                <w:szCs w:val="22"/>
              </w:rPr>
            </w:pPr>
            <w:proofErr w:type="spellStart"/>
            <w:r>
              <w:rPr>
                <w:b/>
                <w:sz w:val="22"/>
                <w:szCs w:val="22"/>
              </w:rPr>
              <w:t>Efni</w:t>
            </w:r>
            <w:proofErr w:type="spellEnd"/>
          </w:p>
        </w:tc>
      </w:tr>
      <w:tr w:rsidR="001C48A2" w:rsidRPr="00C50CC4" w:rsidTr="00C50CC4">
        <w:tc>
          <w:tcPr>
            <w:tcW w:w="1101" w:type="dxa"/>
          </w:tcPr>
          <w:p w:rsidR="001C48A2" w:rsidRPr="00C50CC4" w:rsidRDefault="001C48A2" w:rsidP="00A12814">
            <w:pPr>
              <w:rPr>
                <w:b/>
                <w:color w:val="FF0000"/>
                <w:sz w:val="22"/>
                <w:szCs w:val="22"/>
                <w:lang w:val="is-IS"/>
              </w:rPr>
            </w:pPr>
          </w:p>
        </w:tc>
        <w:tc>
          <w:tcPr>
            <w:tcW w:w="850" w:type="dxa"/>
          </w:tcPr>
          <w:p w:rsidR="001C48A2" w:rsidRPr="00C50CC4" w:rsidRDefault="008A365F" w:rsidP="00A12814">
            <w:pPr>
              <w:rPr>
                <w:b/>
                <w:sz w:val="22"/>
                <w:szCs w:val="22"/>
                <w:lang w:val="is-IS"/>
              </w:rPr>
            </w:pPr>
            <w:r w:rsidRPr="00C50CC4">
              <w:rPr>
                <w:b/>
                <w:sz w:val="22"/>
                <w:szCs w:val="22"/>
                <w:lang w:val="is-IS"/>
              </w:rPr>
              <w:t>1.</w:t>
            </w:r>
          </w:p>
        </w:tc>
        <w:tc>
          <w:tcPr>
            <w:tcW w:w="7697" w:type="dxa"/>
            <w:vAlign w:val="center"/>
          </w:tcPr>
          <w:p w:rsidR="001C48A2" w:rsidRPr="00C50CC4" w:rsidRDefault="00C26FB8" w:rsidP="008A365F">
            <w:pPr>
              <w:rPr>
                <w:sz w:val="22"/>
                <w:szCs w:val="22"/>
                <w:lang w:val="is-IS"/>
              </w:rPr>
            </w:pPr>
            <w:r w:rsidRPr="00C50CC4">
              <w:rPr>
                <w:b/>
                <w:sz w:val="22"/>
                <w:szCs w:val="22"/>
              </w:rPr>
              <w:t>ÁBYRGIR AÐILAR</w:t>
            </w:r>
          </w:p>
        </w:tc>
      </w:tr>
      <w:tr w:rsidR="001C48A2" w:rsidRPr="00C50CC4" w:rsidTr="00C50CC4">
        <w:trPr>
          <w:trHeight w:val="478"/>
        </w:trPr>
        <w:tc>
          <w:tcPr>
            <w:tcW w:w="1101" w:type="dxa"/>
          </w:tcPr>
          <w:p w:rsidR="001C48A2" w:rsidRPr="00C50CC4" w:rsidRDefault="001C48A2" w:rsidP="00A12814">
            <w:pPr>
              <w:rPr>
                <w:sz w:val="22"/>
                <w:szCs w:val="22"/>
                <w:lang w:val="is-IS"/>
              </w:rPr>
            </w:pPr>
          </w:p>
        </w:tc>
        <w:tc>
          <w:tcPr>
            <w:tcW w:w="850" w:type="dxa"/>
          </w:tcPr>
          <w:p w:rsidR="001C48A2" w:rsidRPr="00C50CC4" w:rsidRDefault="008A365F" w:rsidP="00A12814">
            <w:pPr>
              <w:rPr>
                <w:b/>
                <w:sz w:val="22"/>
                <w:szCs w:val="22"/>
                <w:lang w:val="is-IS"/>
              </w:rPr>
            </w:pPr>
            <w:r w:rsidRPr="00C50CC4">
              <w:rPr>
                <w:b/>
                <w:sz w:val="22"/>
                <w:szCs w:val="22"/>
                <w:lang w:val="is-IS"/>
              </w:rPr>
              <w:t>1.1.</w:t>
            </w:r>
          </w:p>
        </w:tc>
        <w:tc>
          <w:tcPr>
            <w:tcW w:w="7697" w:type="dxa"/>
            <w:vAlign w:val="center"/>
          </w:tcPr>
          <w:p w:rsidR="001C48A2" w:rsidRPr="00C50CC4" w:rsidRDefault="00161EA2" w:rsidP="00161EA2">
            <w:pPr>
              <w:rPr>
                <w:sz w:val="22"/>
                <w:szCs w:val="22"/>
                <w:lang w:val="is-IS"/>
              </w:rPr>
            </w:pPr>
            <w:r w:rsidRPr="00C50CC4">
              <w:rPr>
                <w:sz w:val="22"/>
                <w:szCs w:val="22"/>
                <w:lang w:val="is-IS"/>
              </w:rPr>
              <w:t>Tilgreina skal alla aðila sem eru ábyrgir fyrir upplýsingum í útgefandalýsingunni, og, eftir atvikum, fyrir tilteknum hlutum hennar og í því tilviki skal tilgreina þá hluta sem þeir eru ábyrgir fyrir. Ef um er að ræða einstaklinga, þ.m.t. aðilar að stjórn, framkvæmdastjórn eða eftirlitsstjórn útgefandans, skulu þeir tilgreindir með nafni og stöðuheiti. Ef um er að ræða lögaðila skal tilgreina nafn þeirra og skráða skrifstofu.</w:t>
            </w:r>
          </w:p>
        </w:tc>
      </w:tr>
      <w:tr w:rsidR="001C48A2" w:rsidRPr="00C50CC4" w:rsidTr="00C50CC4">
        <w:tc>
          <w:tcPr>
            <w:tcW w:w="1101" w:type="dxa"/>
          </w:tcPr>
          <w:p w:rsidR="001C48A2" w:rsidRPr="00C50CC4" w:rsidRDefault="001C48A2" w:rsidP="00A12814">
            <w:pPr>
              <w:rPr>
                <w:sz w:val="22"/>
                <w:szCs w:val="22"/>
                <w:lang w:val="is-IS"/>
              </w:rPr>
            </w:pPr>
          </w:p>
        </w:tc>
        <w:tc>
          <w:tcPr>
            <w:tcW w:w="850" w:type="dxa"/>
          </w:tcPr>
          <w:p w:rsidR="001C48A2" w:rsidRPr="00C50CC4" w:rsidRDefault="008A365F" w:rsidP="00A12814">
            <w:pPr>
              <w:rPr>
                <w:b/>
                <w:sz w:val="22"/>
                <w:szCs w:val="22"/>
                <w:lang w:val="is-IS"/>
              </w:rPr>
            </w:pPr>
            <w:r w:rsidRPr="00C50CC4">
              <w:rPr>
                <w:b/>
                <w:sz w:val="22"/>
                <w:szCs w:val="22"/>
                <w:lang w:val="is-IS"/>
              </w:rPr>
              <w:t>1.2.</w:t>
            </w:r>
          </w:p>
        </w:tc>
        <w:tc>
          <w:tcPr>
            <w:tcW w:w="7697" w:type="dxa"/>
            <w:vAlign w:val="center"/>
          </w:tcPr>
          <w:p w:rsidR="001C48A2" w:rsidRPr="00C50CC4" w:rsidRDefault="00161EA2" w:rsidP="00161EA2">
            <w:pPr>
              <w:rPr>
                <w:sz w:val="22"/>
                <w:szCs w:val="22"/>
                <w:lang w:val="is-IS"/>
              </w:rPr>
            </w:pPr>
            <w:r w:rsidRPr="00C50CC4">
              <w:rPr>
                <w:sz w:val="22"/>
                <w:szCs w:val="22"/>
                <w:lang w:val="is-IS"/>
              </w:rPr>
              <w:t>Yfirlýsing frá þeim sem eru ábyrgir fyrir útgefandalýsingunni þess efnis að samkvæmt þeirra bestu vitund séu upplýsingarnar, sem útgefandalýsingin hefur að geyma, í samræmi við staðreyndir og að engum upplýsingum sé sleppt sem kunna að skipta máli varðandi áreiðanleika hennar. Eftir atvikum, yfirlýsing frá þeim sem eru ábyrgir fyrir tilteknum hlutum útgefandalýsingarinnar þess efnis að samkvæmt þeirra bestu vitund séu upplýsingarnar, sem er að finna í þeim hluta útgefanda</w:t>
            </w:r>
            <w:r w:rsidR="006E6256">
              <w:rPr>
                <w:sz w:val="22"/>
                <w:szCs w:val="22"/>
                <w:lang w:val="is-IS"/>
              </w:rPr>
              <w:softHyphen/>
            </w:r>
            <w:r w:rsidRPr="00C50CC4">
              <w:rPr>
                <w:sz w:val="22"/>
                <w:szCs w:val="22"/>
                <w:lang w:val="is-IS"/>
              </w:rPr>
              <w:t>lýsingarinnar sem þeir eru ábyrgir fyrir, í samræmi við staðreyndir og að engum upplýsingum sé sleppt sem kunna að skipta máli varðandi áreiðanleika hans.</w:t>
            </w:r>
          </w:p>
        </w:tc>
      </w:tr>
      <w:tr w:rsidR="001C48A2" w:rsidRPr="00C50CC4" w:rsidTr="00C50CC4">
        <w:trPr>
          <w:trHeight w:val="28"/>
        </w:trPr>
        <w:tc>
          <w:tcPr>
            <w:tcW w:w="1101" w:type="dxa"/>
          </w:tcPr>
          <w:p w:rsidR="001C48A2" w:rsidRPr="00C50CC4" w:rsidRDefault="001C48A2" w:rsidP="00A12814">
            <w:pPr>
              <w:rPr>
                <w:sz w:val="22"/>
                <w:szCs w:val="22"/>
                <w:lang w:val="is-IS"/>
              </w:rPr>
            </w:pPr>
          </w:p>
        </w:tc>
        <w:tc>
          <w:tcPr>
            <w:tcW w:w="850" w:type="dxa"/>
          </w:tcPr>
          <w:p w:rsidR="001C48A2" w:rsidRPr="00C50CC4" w:rsidRDefault="008A365F" w:rsidP="00A12814">
            <w:pPr>
              <w:rPr>
                <w:b/>
                <w:sz w:val="22"/>
                <w:szCs w:val="22"/>
                <w:lang w:val="is-IS"/>
              </w:rPr>
            </w:pPr>
            <w:r w:rsidRPr="00C50CC4">
              <w:rPr>
                <w:b/>
                <w:sz w:val="22"/>
                <w:szCs w:val="22"/>
                <w:lang w:val="is-IS"/>
              </w:rPr>
              <w:t>2.</w:t>
            </w:r>
          </w:p>
        </w:tc>
        <w:tc>
          <w:tcPr>
            <w:tcW w:w="7697" w:type="dxa"/>
            <w:vAlign w:val="center"/>
          </w:tcPr>
          <w:p w:rsidR="001C48A2" w:rsidRPr="00C50CC4" w:rsidRDefault="00C26FB8" w:rsidP="008A365F">
            <w:pPr>
              <w:rPr>
                <w:sz w:val="22"/>
                <w:szCs w:val="22"/>
                <w:lang w:val="is-IS"/>
              </w:rPr>
            </w:pPr>
            <w:r w:rsidRPr="00C50CC4">
              <w:rPr>
                <w:b/>
                <w:sz w:val="22"/>
                <w:szCs w:val="22"/>
              </w:rPr>
              <w:t>LÖGGILTIR ENDURSKOÐENDUR</w:t>
            </w:r>
          </w:p>
        </w:tc>
      </w:tr>
      <w:tr w:rsidR="001C48A2" w:rsidRPr="00C50CC4" w:rsidTr="00C50CC4">
        <w:trPr>
          <w:trHeight w:val="497"/>
        </w:trPr>
        <w:tc>
          <w:tcPr>
            <w:tcW w:w="1101" w:type="dxa"/>
          </w:tcPr>
          <w:p w:rsidR="001C48A2" w:rsidRPr="00C50CC4" w:rsidRDefault="001C48A2" w:rsidP="00A12814">
            <w:pPr>
              <w:rPr>
                <w:sz w:val="22"/>
                <w:szCs w:val="22"/>
                <w:lang w:val="is-IS"/>
              </w:rPr>
            </w:pPr>
          </w:p>
        </w:tc>
        <w:tc>
          <w:tcPr>
            <w:tcW w:w="850" w:type="dxa"/>
          </w:tcPr>
          <w:p w:rsidR="001C48A2" w:rsidRPr="00C50CC4" w:rsidRDefault="008A365F" w:rsidP="00A12814">
            <w:pPr>
              <w:rPr>
                <w:b/>
                <w:sz w:val="22"/>
                <w:szCs w:val="22"/>
                <w:lang w:val="is-IS"/>
              </w:rPr>
            </w:pPr>
            <w:r w:rsidRPr="00C50CC4">
              <w:rPr>
                <w:b/>
                <w:sz w:val="22"/>
                <w:szCs w:val="22"/>
                <w:lang w:val="is-IS"/>
              </w:rPr>
              <w:t>2.1.</w:t>
            </w:r>
          </w:p>
        </w:tc>
        <w:tc>
          <w:tcPr>
            <w:tcW w:w="7697" w:type="dxa"/>
            <w:vAlign w:val="center"/>
          </w:tcPr>
          <w:p w:rsidR="001C48A2" w:rsidRPr="00C50CC4" w:rsidRDefault="00161EA2" w:rsidP="00161EA2">
            <w:pPr>
              <w:rPr>
                <w:sz w:val="22"/>
                <w:szCs w:val="22"/>
                <w:lang w:val="is-IS"/>
              </w:rPr>
            </w:pPr>
            <w:r w:rsidRPr="00C50CC4">
              <w:rPr>
                <w:sz w:val="22"/>
                <w:szCs w:val="22"/>
                <w:lang w:val="is-IS"/>
              </w:rPr>
              <w:t>Nöfn og heimilisföng endurskoðenda útgefandans á því tímabili sem sögulegar fjárhagslegar upplýsingar taka til (ásamt aðild þeirra að faglegum samtökum).</w:t>
            </w:r>
          </w:p>
        </w:tc>
      </w:tr>
      <w:tr w:rsidR="005058E7" w:rsidRPr="00C50CC4" w:rsidTr="00C50CC4">
        <w:trPr>
          <w:trHeight w:val="334"/>
        </w:trPr>
        <w:tc>
          <w:tcPr>
            <w:tcW w:w="1101" w:type="dxa"/>
          </w:tcPr>
          <w:p w:rsidR="005058E7" w:rsidRPr="00C50CC4" w:rsidRDefault="005058E7" w:rsidP="00A12814">
            <w:pPr>
              <w:rPr>
                <w:sz w:val="22"/>
                <w:szCs w:val="22"/>
                <w:lang w:val="is-IS"/>
              </w:rPr>
            </w:pPr>
          </w:p>
        </w:tc>
        <w:tc>
          <w:tcPr>
            <w:tcW w:w="850" w:type="dxa"/>
          </w:tcPr>
          <w:p w:rsidR="005058E7" w:rsidRPr="00C50CC4" w:rsidRDefault="00F31A29" w:rsidP="00A12814">
            <w:pPr>
              <w:rPr>
                <w:b/>
                <w:sz w:val="22"/>
                <w:szCs w:val="22"/>
                <w:lang w:val="is-IS"/>
              </w:rPr>
            </w:pPr>
            <w:r w:rsidRPr="00C50CC4">
              <w:rPr>
                <w:b/>
                <w:sz w:val="22"/>
                <w:szCs w:val="22"/>
                <w:lang w:val="is-IS"/>
              </w:rPr>
              <w:t>2.2.</w:t>
            </w:r>
          </w:p>
        </w:tc>
        <w:tc>
          <w:tcPr>
            <w:tcW w:w="7697" w:type="dxa"/>
            <w:vAlign w:val="center"/>
          </w:tcPr>
          <w:p w:rsidR="005058E7" w:rsidRPr="00C50CC4" w:rsidRDefault="00161EA2" w:rsidP="00161EA2">
            <w:pPr>
              <w:rPr>
                <w:sz w:val="22"/>
                <w:szCs w:val="22"/>
                <w:lang w:val="is-IS"/>
              </w:rPr>
            </w:pPr>
            <w:r w:rsidRPr="00C50CC4">
              <w:rPr>
                <w:sz w:val="22"/>
                <w:szCs w:val="22"/>
                <w:lang w:val="is-IS"/>
              </w:rPr>
              <w:t>Ef endurskoðendur hafa sagt starfi sínu lausu, verið leystir frá störfum eða ekki verið endurkjörnir á því tímabili sem sögulegar fjárhagslegar upplýsingar taka til, skal tilgreina allar upplýsingar sem máli skipta.</w:t>
            </w:r>
          </w:p>
        </w:tc>
      </w:tr>
      <w:tr w:rsidR="00CC2770" w:rsidRPr="00C50CC4" w:rsidTr="00C50CC4">
        <w:trPr>
          <w:trHeight w:val="28"/>
        </w:trPr>
        <w:tc>
          <w:tcPr>
            <w:tcW w:w="1101" w:type="dxa"/>
          </w:tcPr>
          <w:p w:rsidR="00CC2770" w:rsidRPr="00C50CC4" w:rsidRDefault="00CC2770" w:rsidP="00A12814">
            <w:pPr>
              <w:rPr>
                <w:sz w:val="22"/>
                <w:szCs w:val="22"/>
                <w:lang w:val="is-IS"/>
              </w:rPr>
            </w:pPr>
          </w:p>
        </w:tc>
        <w:tc>
          <w:tcPr>
            <w:tcW w:w="850" w:type="dxa"/>
          </w:tcPr>
          <w:p w:rsidR="00CC2770" w:rsidRPr="00C50CC4" w:rsidRDefault="00E501B1" w:rsidP="00A12814">
            <w:pPr>
              <w:rPr>
                <w:b/>
                <w:sz w:val="22"/>
                <w:szCs w:val="22"/>
                <w:lang w:val="is-IS"/>
              </w:rPr>
            </w:pPr>
            <w:r w:rsidRPr="00C50CC4">
              <w:rPr>
                <w:b/>
                <w:sz w:val="22"/>
                <w:szCs w:val="22"/>
                <w:lang w:val="is-IS"/>
              </w:rPr>
              <w:t>3</w:t>
            </w:r>
          </w:p>
        </w:tc>
        <w:tc>
          <w:tcPr>
            <w:tcW w:w="7697" w:type="dxa"/>
            <w:vAlign w:val="center"/>
          </w:tcPr>
          <w:p w:rsidR="009057BA" w:rsidRPr="00C50CC4" w:rsidRDefault="00C26FB8" w:rsidP="009057BA">
            <w:pPr>
              <w:autoSpaceDE w:val="0"/>
              <w:autoSpaceDN w:val="0"/>
              <w:adjustRightInd w:val="0"/>
              <w:rPr>
                <w:b/>
                <w:bCs/>
                <w:sz w:val="22"/>
                <w:szCs w:val="22"/>
                <w:lang w:val="is-IS" w:eastAsia="is-IS"/>
              </w:rPr>
            </w:pPr>
            <w:r w:rsidRPr="00C50CC4">
              <w:rPr>
                <w:b/>
                <w:bCs/>
                <w:sz w:val="22"/>
                <w:szCs w:val="22"/>
                <w:lang w:val="is-IS" w:eastAsia="is-IS"/>
              </w:rPr>
              <w:t>ÁHÆTTUÞÆTTIR</w:t>
            </w:r>
          </w:p>
        </w:tc>
      </w:tr>
      <w:tr w:rsidR="009057BA" w:rsidRPr="00C50CC4" w:rsidTr="00C50CC4">
        <w:trPr>
          <w:trHeight w:val="333"/>
        </w:trPr>
        <w:tc>
          <w:tcPr>
            <w:tcW w:w="1101" w:type="dxa"/>
          </w:tcPr>
          <w:p w:rsidR="009057BA" w:rsidRPr="00C50CC4" w:rsidRDefault="009057BA" w:rsidP="00A12814">
            <w:pPr>
              <w:rPr>
                <w:sz w:val="22"/>
                <w:szCs w:val="22"/>
                <w:lang w:val="is-IS"/>
              </w:rPr>
            </w:pPr>
          </w:p>
        </w:tc>
        <w:tc>
          <w:tcPr>
            <w:tcW w:w="850" w:type="dxa"/>
          </w:tcPr>
          <w:p w:rsidR="009057BA" w:rsidRPr="00C50CC4" w:rsidRDefault="005D1D79" w:rsidP="00A12814">
            <w:pPr>
              <w:rPr>
                <w:b/>
                <w:sz w:val="22"/>
                <w:szCs w:val="22"/>
                <w:lang w:val="is-IS"/>
              </w:rPr>
            </w:pPr>
            <w:r w:rsidRPr="00C50CC4">
              <w:rPr>
                <w:b/>
                <w:sz w:val="22"/>
                <w:szCs w:val="22"/>
                <w:lang w:val="is-IS"/>
              </w:rPr>
              <w:t>3.1.</w:t>
            </w:r>
          </w:p>
        </w:tc>
        <w:tc>
          <w:tcPr>
            <w:tcW w:w="7697" w:type="dxa"/>
            <w:vAlign w:val="center"/>
          </w:tcPr>
          <w:p w:rsidR="009057BA" w:rsidRPr="00C50CC4" w:rsidRDefault="00161EA2" w:rsidP="00161EA2">
            <w:pPr>
              <w:autoSpaceDE w:val="0"/>
              <w:autoSpaceDN w:val="0"/>
              <w:adjustRightInd w:val="0"/>
              <w:rPr>
                <w:b/>
                <w:bCs/>
                <w:sz w:val="22"/>
                <w:szCs w:val="22"/>
                <w:lang w:val="is-IS" w:eastAsia="is-IS"/>
              </w:rPr>
            </w:pPr>
            <w:r w:rsidRPr="00C50CC4">
              <w:rPr>
                <w:sz w:val="22"/>
                <w:szCs w:val="22"/>
                <w:lang w:val="is-IS" w:eastAsia="is-IS"/>
              </w:rPr>
              <w:t>Upplýsingar um áhættuþætti, sem geta haft áhrif á getu útgefandans til að uppfylla skuldbindingar gagnvart fjárfestum í tengslum við verðbréfin skulu birtar á áberandi stað í kafla sem ber yfirskriftina „Áhættuþættir“.</w:t>
            </w:r>
          </w:p>
        </w:tc>
      </w:tr>
      <w:tr w:rsidR="00590EEB" w:rsidRPr="00C50CC4" w:rsidTr="00C50CC4">
        <w:trPr>
          <w:trHeight w:val="28"/>
        </w:trPr>
        <w:tc>
          <w:tcPr>
            <w:tcW w:w="1101" w:type="dxa"/>
          </w:tcPr>
          <w:p w:rsidR="00590EEB" w:rsidRPr="00C50CC4" w:rsidRDefault="00590EEB" w:rsidP="00A12814">
            <w:pPr>
              <w:rPr>
                <w:sz w:val="22"/>
                <w:szCs w:val="22"/>
                <w:lang w:val="is-IS"/>
              </w:rPr>
            </w:pPr>
          </w:p>
        </w:tc>
        <w:tc>
          <w:tcPr>
            <w:tcW w:w="850" w:type="dxa"/>
          </w:tcPr>
          <w:p w:rsidR="00590EEB" w:rsidRPr="00C50CC4" w:rsidRDefault="00590EEB" w:rsidP="00A12814">
            <w:pPr>
              <w:rPr>
                <w:b/>
                <w:sz w:val="22"/>
                <w:szCs w:val="22"/>
                <w:lang w:val="is-IS"/>
              </w:rPr>
            </w:pPr>
            <w:r w:rsidRPr="00C50CC4">
              <w:rPr>
                <w:b/>
                <w:sz w:val="22"/>
                <w:szCs w:val="22"/>
                <w:lang w:val="is-IS"/>
              </w:rPr>
              <w:t>4.</w:t>
            </w:r>
          </w:p>
        </w:tc>
        <w:tc>
          <w:tcPr>
            <w:tcW w:w="7697" w:type="dxa"/>
            <w:vAlign w:val="center"/>
          </w:tcPr>
          <w:p w:rsidR="00590EEB" w:rsidRPr="00C50CC4" w:rsidRDefault="000F7090" w:rsidP="006F1AA6">
            <w:pPr>
              <w:autoSpaceDE w:val="0"/>
              <w:autoSpaceDN w:val="0"/>
              <w:adjustRightInd w:val="0"/>
              <w:rPr>
                <w:sz w:val="22"/>
                <w:szCs w:val="22"/>
                <w:lang w:val="is-IS" w:eastAsia="is-IS"/>
              </w:rPr>
            </w:pPr>
            <w:r w:rsidRPr="00C50CC4">
              <w:rPr>
                <w:rFonts w:ascii="TimesNewRoman,Bold" w:hAnsi="TimesNewRoman,Bold" w:cs="TimesNewRoman,Bold"/>
                <w:b/>
                <w:bCs/>
                <w:sz w:val="22"/>
                <w:szCs w:val="22"/>
                <w:lang w:val="is-IS" w:eastAsia="is-IS"/>
              </w:rPr>
              <w:t>UPPLÝSINGAR UM ÚTGEFANDANN</w:t>
            </w:r>
          </w:p>
        </w:tc>
      </w:tr>
      <w:tr w:rsidR="00590EEB" w:rsidRPr="00C50CC4" w:rsidTr="00C50CC4">
        <w:trPr>
          <w:trHeight w:val="28"/>
        </w:trPr>
        <w:tc>
          <w:tcPr>
            <w:tcW w:w="1101" w:type="dxa"/>
          </w:tcPr>
          <w:p w:rsidR="00590EEB" w:rsidRPr="00C50CC4" w:rsidRDefault="00590EEB" w:rsidP="00A12814">
            <w:pPr>
              <w:rPr>
                <w:sz w:val="22"/>
                <w:szCs w:val="22"/>
                <w:lang w:val="is-IS"/>
              </w:rPr>
            </w:pPr>
          </w:p>
        </w:tc>
        <w:tc>
          <w:tcPr>
            <w:tcW w:w="850" w:type="dxa"/>
          </w:tcPr>
          <w:p w:rsidR="00590EEB" w:rsidRPr="00C50CC4" w:rsidRDefault="00590EEB" w:rsidP="00A12814">
            <w:pPr>
              <w:rPr>
                <w:b/>
                <w:sz w:val="22"/>
                <w:szCs w:val="22"/>
                <w:lang w:val="is-IS"/>
              </w:rPr>
            </w:pPr>
            <w:r w:rsidRPr="00C50CC4">
              <w:rPr>
                <w:b/>
                <w:sz w:val="22"/>
                <w:szCs w:val="22"/>
                <w:lang w:val="is-IS"/>
              </w:rPr>
              <w:t>4.1.</w:t>
            </w:r>
          </w:p>
        </w:tc>
        <w:tc>
          <w:tcPr>
            <w:tcW w:w="7697" w:type="dxa"/>
            <w:vAlign w:val="center"/>
          </w:tcPr>
          <w:p w:rsidR="00590EEB" w:rsidRPr="00C50CC4" w:rsidRDefault="000F7090" w:rsidP="00590EEB">
            <w:pPr>
              <w:autoSpaceDE w:val="0"/>
              <w:autoSpaceDN w:val="0"/>
              <w:adjustRightInd w:val="0"/>
              <w:rPr>
                <w:rFonts w:ascii="TimesNewRoman,Bold" w:hAnsi="TimesNewRoman,Bold" w:cs="TimesNewRoman,Bold"/>
                <w:b/>
                <w:bCs/>
                <w:i/>
                <w:sz w:val="22"/>
                <w:szCs w:val="22"/>
                <w:lang w:val="is-IS" w:eastAsia="is-IS"/>
              </w:rPr>
            </w:pPr>
            <w:r w:rsidRPr="00C50CC4">
              <w:rPr>
                <w:rFonts w:ascii="TimesNewRoman,Bold" w:hAnsi="TimesNewRoman,Bold" w:cs="TimesNewRoman,Bold"/>
                <w:bCs/>
                <w:i/>
                <w:sz w:val="22"/>
                <w:szCs w:val="22"/>
                <w:lang w:val="is-IS" w:eastAsia="is-IS"/>
              </w:rPr>
              <w:t>Saga og þróun útgefandans</w:t>
            </w:r>
          </w:p>
        </w:tc>
      </w:tr>
      <w:tr w:rsidR="000F7090" w:rsidRPr="00C50CC4" w:rsidTr="00C50CC4">
        <w:trPr>
          <w:trHeight w:val="28"/>
        </w:trPr>
        <w:tc>
          <w:tcPr>
            <w:tcW w:w="1101" w:type="dxa"/>
          </w:tcPr>
          <w:p w:rsidR="000F7090" w:rsidRPr="00C50CC4" w:rsidRDefault="000F7090" w:rsidP="00A12814">
            <w:pPr>
              <w:rPr>
                <w:sz w:val="22"/>
                <w:szCs w:val="22"/>
                <w:lang w:val="is-IS"/>
              </w:rPr>
            </w:pPr>
          </w:p>
        </w:tc>
        <w:tc>
          <w:tcPr>
            <w:tcW w:w="850" w:type="dxa"/>
          </w:tcPr>
          <w:p w:rsidR="000F7090" w:rsidRPr="00C50CC4" w:rsidRDefault="000F7090" w:rsidP="00A12814">
            <w:pPr>
              <w:rPr>
                <w:b/>
                <w:sz w:val="22"/>
                <w:szCs w:val="22"/>
                <w:lang w:val="is-IS"/>
              </w:rPr>
            </w:pPr>
            <w:r w:rsidRPr="00C50CC4">
              <w:rPr>
                <w:b/>
                <w:sz w:val="22"/>
                <w:szCs w:val="22"/>
                <w:lang w:val="is-IS"/>
              </w:rPr>
              <w:t>4.1.1.</w:t>
            </w:r>
          </w:p>
        </w:tc>
        <w:tc>
          <w:tcPr>
            <w:tcW w:w="7697" w:type="dxa"/>
            <w:vAlign w:val="center"/>
          </w:tcPr>
          <w:p w:rsidR="000F7090" w:rsidRPr="00C50CC4" w:rsidRDefault="00111131" w:rsidP="00590EEB">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Lögheiti og viðskiptaheiti útgefanda,</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4.1.2.</w:t>
            </w:r>
          </w:p>
        </w:tc>
        <w:tc>
          <w:tcPr>
            <w:tcW w:w="7697" w:type="dxa"/>
            <w:vAlign w:val="center"/>
          </w:tcPr>
          <w:p w:rsidR="00111131" w:rsidRPr="00C50CC4" w:rsidRDefault="00111131" w:rsidP="00590EEB">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skráningarstaður útgefanda og skráningarnúmer hans,</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4.1.3.</w:t>
            </w:r>
          </w:p>
        </w:tc>
        <w:tc>
          <w:tcPr>
            <w:tcW w:w="7697" w:type="dxa"/>
            <w:vAlign w:val="center"/>
          </w:tcPr>
          <w:p w:rsidR="00111131" w:rsidRPr="00C50CC4" w:rsidRDefault="00111131" w:rsidP="00590EEB">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stofndagur og rekstrartími útgefanda, sé hann ekki ótiltekinn,</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4.1.4.</w:t>
            </w:r>
          </w:p>
        </w:tc>
        <w:tc>
          <w:tcPr>
            <w:tcW w:w="7697" w:type="dxa"/>
            <w:vAlign w:val="center"/>
          </w:tcPr>
          <w:p w:rsidR="00111131" w:rsidRPr="00C50CC4" w:rsidRDefault="00161EA2" w:rsidP="006E6256">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lögheimili útgefandans og rekstrarform hans að lögum, löggjöfin sem útgefandinn starfar samkvæmt, heiti lands þar sem útgefandi er skráður, ásamt heimilisfangi og símanúmeri skráðrar skrifstofu hans (eða höfuðstöðvar</w:t>
            </w:r>
            <w:r w:rsidR="006E6256">
              <w:rPr>
                <w:rFonts w:ascii="TimesNewRoman,Bold" w:hAnsi="TimesNewRoman,Bold" w:cs="TimesNewRoman,Bold"/>
                <w:bCs/>
                <w:sz w:val="22"/>
                <w:szCs w:val="22"/>
                <w:lang w:val="is-IS" w:eastAsia="is-IS"/>
              </w:rPr>
              <w:t xml:space="preserve"> </w:t>
            </w:r>
            <w:r w:rsidRPr="00C50CC4">
              <w:rPr>
                <w:rFonts w:ascii="TimesNewRoman,Bold" w:hAnsi="TimesNewRoman,Bold" w:cs="TimesNewRoman,Bold"/>
                <w:bCs/>
                <w:sz w:val="22"/>
                <w:szCs w:val="22"/>
                <w:lang w:val="is-IS" w:eastAsia="is-IS"/>
              </w:rPr>
              <w:t>útgefandans ef þær eru aðrar en heimilisfang skráðrar skrifstofu hans),</w:t>
            </w:r>
          </w:p>
        </w:tc>
      </w:tr>
      <w:tr w:rsidR="00111131" w:rsidRPr="00C50CC4" w:rsidTr="00C50CC4">
        <w:trPr>
          <w:trHeight w:val="41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4.1.5.</w:t>
            </w:r>
          </w:p>
        </w:tc>
        <w:tc>
          <w:tcPr>
            <w:tcW w:w="7697" w:type="dxa"/>
            <w:vAlign w:val="center"/>
          </w:tcPr>
          <w:p w:rsidR="00111131" w:rsidRPr="00C50CC4" w:rsidRDefault="00161EA2" w:rsidP="00111131">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hvers kyns atburðir sem hafa nýlega átt sér stað sem snerta útgefanda og skipta máli við mat á gjaldhæfi hans.</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5.</w:t>
            </w:r>
          </w:p>
        </w:tc>
        <w:tc>
          <w:tcPr>
            <w:tcW w:w="7697" w:type="dxa"/>
            <w:vAlign w:val="center"/>
          </w:tcPr>
          <w:p w:rsidR="00111131" w:rsidRPr="00C50CC4" w:rsidRDefault="00111131" w:rsidP="00111131">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YFIRLIT YFIR STARFSEMI</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5.1.</w:t>
            </w:r>
          </w:p>
        </w:tc>
        <w:tc>
          <w:tcPr>
            <w:tcW w:w="7697" w:type="dxa"/>
            <w:vAlign w:val="center"/>
          </w:tcPr>
          <w:p w:rsidR="00111131" w:rsidRPr="00C50CC4" w:rsidRDefault="00111131" w:rsidP="00111131">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Helsta starfsemi</w:t>
            </w:r>
          </w:p>
        </w:tc>
      </w:tr>
      <w:tr w:rsidR="00111131" w:rsidRPr="00C50CC4" w:rsidTr="00C50CC4">
        <w:trPr>
          <w:trHeight w:val="153"/>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5.1.1.</w:t>
            </w:r>
          </w:p>
        </w:tc>
        <w:tc>
          <w:tcPr>
            <w:tcW w:w="7697" w:type="dxa"/>
            <w:vAlign w:val="center"/>
          </w:tcPr>
          <w:p w:rsidR="00111131" w:rsidRPr="00C50CC4" w:rsidRDefault="00161EA2" w:rsidP="00161EA2">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Stutt lýsing á helstu starfsemi útgefanda þar sem getið er helstu afurða og vöruflokka sem seldir eru og/eða þjónustu sem er veitt.</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5.1.2.</w:t>
            </w:r>
          </w:p>
        </w:tc>
        <w:tc>
          <w:tcPr>
            <w:tcW w:w="7697" w:type="dxa"/>
            <w:vAlign w:val="center"/>
          </w:tcPr>
          <w:p w:rsidR="00111131" w:rsidRPr="00C50CC4" w:rsidRDefault="00161EA2" w:rsidP="00111131">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Upplýsingar um allar mikilvægar nýjar afurðir og vörur og/eða starfsemi.</w:t>
            </w:r>
          </w:p>
        </w:tc>
      </w:tr>
      <w:tr w:rsidR="00161EA2" w:rsidRPr="00C50CC4" w:rsidTr="00C50CC4">
        <w:trPr>
          <w:trHeight w:val="139"/>
        </w:trPr>
        <w:tc>
          <w:tcPr>
            <w:tcW w:w="1101" w:type="dxa"/>
          </w:tcPr>
          <w:p w:rsidR="00161EA2" w:rsidRPr="00C50CC4" w:rsidRDefault="00161EA2" w:rsidP="00A12814">
            <w:pPr>
              <w:rPr>
                <w:sz w:val="22"/>
                <w:szCs w:val="22"/>
                <w:lang w:val="is-IS"/>
              </w:rPr>
            </w:pPr>
          </w:p>
        </w:tc>
        <w:tc>
          <w:tcPr>
            <w:tcW w:w="850" w:type="dxa"/>
          </w:tcPr>
          <w:p w:rsidR="00161EA2" w:rsidRPr="00C50CC4" w:rsidRDefault="00161EA2" w:rsidP="00A12814">
            <w:pPr>
              <w:rPr>
                <w:b/>
                <w:sz w:val="22"/>
                <w:szCs w:val="22"/>
                <w:lang w:val="is-IS"/>
              </w:rPr>
            </w:pPr>
            <w:r w:rsidRPr="00C50CC4">
              <w:rPr>
                <w:b/>
                <w:sz w:val="22"/>
                <w:szCs w:val="22"/>
                <w:lang w:val="is-IS"/>
              </w:rPr>
              <w:t>5.1.3.</w:t>
            </w:r>
          </w:p>
        </w:tc>
        <w:tc>
          <w:tcPr>
            <w:tcW w:w="7697" w:type="dxa"/>
            <w:vAlign w:val="center"/>
          </w:tcPr>
          <w:p w:rsidR="00161EA2" w:rsidRPr="00C50CC4" w:rsidRDefault="00161EA2" w:rsidP="00161EA2">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Helstu markaðir.</w:t>
            </w:r>
          </w:p>
          <w:p w:rsidR="00161EA2" w:rsidRPr="00C50CC4" w:rsidRDefault="00161EA2" w:rsidP="00161EA2">
            <w:pPr>
              <w:autoSpaceDE w:val="0"/>
              <w:autoSpaceDN w:val="0"/>
              <w:adjustRightInd w:val="0"/>
              <w:rPr>
                <w:rFonts w:ascii="TimesNewRoman,Bold" w:hAnsi="TimesNewRoman,Bold" w:cs="TimesNewRoman,Bold"/>
                <w:bCs/>
                <w:sz w:val="22"/>
                <w:szCs w:val="22"/>
                <w:lang w:val="is-IS" w:eastAsia="is-IS"/>
              </w:rPr>
            </w:pPr>
          </w:p>
          <w:p w:rsidR="00161EA2" w:rsidRPr="00C50CC4" w:rsidRDefault="00161EA2" w:rsidP="00161EA2">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Cs/>
                <w:sz w:val="22"/>
                <w:szCs w:val="22"/>
                <w:lang w:val="is-IS" w:eastAsia="is-IS"/>
              </w:rPr>
              <w:t>Stutt lýsing á helstu mörkuðum þar sem útgefandi tekur þátt í samkeppni.</w:t>
            </w:r>
          </w:p>
        </w:tc>
      </w:tr>
      <w:tr w:rsidR="00161EA2" w:rsidRPr="00C50CC4" w:rsidTr="00C50CC4">
        <w:trPr>
          <w:trHeight w:val="28"/>
        </w:trPr>
        <w:tc>
          <w:tcPr>
            <w:tcW w:w="1101" w:type="dxa"/>
          </w:tcPr>
          <w:p w:rsidR="00161EA2" w:rsidRPr="00C50CC4" w:rsidRDefault="00161EA2" w:rsidP="00A12814">
            <w:pPr>
              <w:rPr>
                <w:sz w:val="22"/>
                <w:szCs w:val="22"/>
                <w:lang w:val="is-IS"/>
              </w:rPr>
            </w:pPr>
          </w:p>
        </w:tc>
        <w:tc>
          <w:tcPr>
            <w:tcW w:w="850" w:type="dxa"/>
          </w:tcPr>
          <w:p w:rsidR="00161EA2" w:rsidRPr="00C50CC4" w:rsidRDefault="00161EA2" w:rsidP="00A12814">
            <w:pPr>
              <w:rPr>
                <w:b/>
                <w:sz w:val="22"/>
                <w:szCs w:val="22"/>
                <w:lang w:val="is-IS"/>
              </w:rPr>
            </w:pPr>
            <w:r w:rsidRPr="00C50CC4">
              <w:rPr>
                <w:b/>
                <w:sz w:val="22"/>
                <w:szCs w:val="22"/>
                <w:lang w:val="is-IS"/>
              </w:rPr>
              <w:t>5.1.4.</w:t>
            </w:r>
          </w:p>
        </w:tc>
        <w:tc>
          <w:tcPr>
            <w:tcW w:w="7697" w:type="dxa"/>
            <w:vAlign w:val="center"/>
          </w:tcPr>
          <w:p w:rsidR="00161EA2" w:rsidRPr="00C50CC4" w:rsidRDefault="00161EA2" w:rsidP="00161EA2">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Cs/>
                <w:sz w:val="22"/>
                <w:szCs w:val="22"/>
                <w:lang w:val="is-IS" w:eastAsia="is-IS"/>
              </w:rPr>
              <w:t>Ef útgefandinn gefur yfirlýsingu í útgefandalýsingu um samkeppnisstöðu sína skal greina frá því á hvaða grunni hún er byggð.</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6.</w:t>
            </w:r>
          </w:p>
        </w:tc>
        <w:tc>
          <w:tcPr>
            <w:tcW w:w="7697" w:type="dxa"/>
            <w:vAlign w:val="center"/>
          </w:tcPr>
          <w:p w:rsidR="00111131" w:rsidRPr="00C50CC4" w:rsidRDefault="00111131" w:rsidP="00111131">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SKIPULAG</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6.1.</w:t>
            </w:r>
          </w:p>
        </w:tc>
        <w:tc>
          <w:tcPr>
            <w:tcW w:w="7697" w:type="dxa"/>
            <w:vAlign w:val="center"/>
          </w:tcPr>
          <w:p w:rsidR="00111131" w:rsidRPr="00C50CC4" w:rsidRDefault="00161EA2" w:rsidP="00111131">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útgefandi er hluti af samstæðu skal gefa stutta lýsingu á henni og stöðu útgefanda innan hennar.</w:t>
            </w:r>
          </w:p>
        </w:tc>
      </w:tr>
      <w:tr w:rsidR="00111131" w:rsidRPr="00C50CC4" w:rsidTr="00C50CC4">
        <w:trPr>
          <w:trHeight w:val="333"/>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6.2</w:t>
            </w:r>
          </w:p>
        </w:tc>
        <w:tc>
          <w:tcPr>
            <w:tcW w:w="7697" w:type="dxa"/>
            <w:vAlign w:val="center"/>
          </w:tcPr>
          <w:p w:rsidR="00111131" w:rsidRPr="00C50CC4" w:rsidRDefault="00161EA2" w:rsidP="00161EA2">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útgefandi er háður öðrum aðilum innan samstæðunnar skal taka það skýrt fram ásamt skýringu á því hvers vegna hann sé háður viðkomandi aðilum.</w:t>
            </w:r>
          </w:p>
        </w:tc>
      </w:tr>
      <w:tr w:rsidR="00111131" w:rsidRPr="00C50CC4" w:rsidTr="00C50CC4">
        <w:trPr>
          <w:trHeight w:val="28"/>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7.</w:t>
            </w:r>
          </w:p>
        </w:tc>
        <w:tc>
          <w:tcPr>
            <w:tcW w:w="7697" w:type="dxa"/>
            <w:vAlign w:val="center"/>
          </w:tcPr>
          <w:p w:rsidR="00111131" w:rsidRPr="00C50CC4" w:rsidRDefault="00111131" w:rsidP="00111131">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UPPLÝSINGAR UM ÞRÓUN</w:t>
            </w:r>
          </w:p>
        </w:tc>
      </w:tr>
      <w:tr w:rsidR="00111131" w:rsidRPr="00C50CC4" w:rsidTr="00C50CC4">
        <w:trPr>
          <w:trHeight w:val="333"/>
        </w:trPr>
        <w:tc>
          <w:tcPr>
            <w:tcW w:w="1101" w:type="dxa"/>
          </w:tcPr>
          <w:p w:rsidR="00111131" w:rsidRPr="00C50CC4" w:rsidRDefault="00111131" w:rsidP="00A12814">
            <w:pPr>
              <w:rPr>
                <w:sz w:val="22"/>
                <w:szCs w:val="22"/>
                <w:lang w:val="is-IS"/>
              </w:rPr>
            </w:pPr>
          </w:p>
        </w:tc>
        <w:tc>
          <w:tcPr>
            <w:tcW w:w="850" w:type="dxa"/>
          </w:tcPr>
          <w:p w:rsidR="00111131" w:rsidRPr="00C50CC4" w:rsidRDefault="00111131" w:rsidP="00A12814">
            <w:pPr>
              <w:rPr>
                <w:b/>
                <w:sz w:val="22"/>
                <w:szCs w:val="22"/>
                <w:lang w:val="is-IS"/>
              </w:rPr>
            </w:pPr>
            <w:r w:rsidRPr="00C50CC4">
              <w:rPr>
                <w:b/>
                <w:sz w:val="22"/>
                <w:szCs w:val="22"/>
                <w:lang w:val="is-IS"/>
              </w:rPr>
              <w:t>7.1.</w:t>
            </w:r>
          </w:p>
        </w:tc>
        <w:tc>
          <w:tcPr>
            <w:tcW w:w="7697" w:type="dxa"/>
            <w:vAlign w:val="center"/>
          </w:tcPr>
          <w:p w:rsidR="007A643C" w:rsidRPr="00C50CC4" w:rsidRDefault="007A643C" w:rsidP="007A643C">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Fylgja skal yfirlýsing þess efnis að ekki hafi orðið neinar verulegar óæskilegar breytingar á framtíðarhorfum útgefanda síðan síðustu endurskoðuðu reiknings</w:t>
            </w:r>
            <w:r w:rsidRPr="00C50CC4">
              <w:rPr>
                <w:rFonts w:ascii="TimesNewRoman,Bold" w:hAnsi="TimesNewRoman,Bold" w:cs="TimesNewRoman,Bold"/>
                <w:bCs/>
                <w:sz w:val="22"/>
                <w:szCs w:val="22"/>
                <w:lang w:val="is-IS" w:eastAsia="is-IS"/>
              </w:rPr>
              <w:softHyphen/>
              <w:t>skil hans voru birt.</w:t>
            </w:r>
          </w:p>
          <w:p w:rsidR="007A643C" w:rsidRPr="00C50CC4" w:rsidRDefault="007A643C" w:rsidP="007A643C">
            <w:pPr>
              <w:autoSpaceDE w:val="0"/>
              <w:autoSpaceDN w:val="0"/>
              <w:adjustRightInd w:val="0"/>
              <w:rPr>
                <w:rFonts w:ascii="TimesNewRoman,Bold" w:hAnsi="TimesNewRoman,Bold" w:cs="TimesNewRoman,Bold"/>
                <w:bCs/>
                <w:sz w:val="22"/>
                <w:szCs w:val="22"/>
                <w:lang w:val="is-IS" w:eastAsia="is-IS"/>
              </w:rPr>
            </w:pPr>
          </w:p>
          <w:p w:rsidR="00111131" w:rsidRPr="00C50CC4" w:rsidRDefault="007A643C" w:rsidP="007A643C">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útgefandi getur ekki gefið slíka yfirlýsingu skal hann láta í té ítarlegar upplýsingar um þessar verulegu óæskilegu breytingar.</w:t>
            </w:r>
          </w:p>
        </w:tc>
      </w:tr>
      <w:tr w:rsidR="00245485" w:rsidRPr="00C50CC4" w:rsidTr="00C50CC4">
        <w:trPr>
          <w:trHeight w:val="333"/>
        </w:trPr>
        <w:tc>
          <w:tcPr>
            <w:tcW w:w="1101" w:type="dxa"/>
          </w:tcPr>
          <w:p w:rsidR="00245485" w:rsidRPr="00C50CC4" w:rsidRDefault="00245485" w:rsidP="00A12814">
            <w:pPr>
              <w:rPr>
                <w:sz w:val="22"/>
                <w:szCs w:val="22"/>
                <w:lang w:val="is-IS"/>
              </w:rPr>
            </w:pPr>
          </w:p>
        </w:tc>
        <w:tc>
          <w:tcPr>
            <w:tcW w:w="850" w:type="dxa"/>
          </w:tcPr>
          <w:p w:rsidR="00245485" w:rsidRPr="00C50CC4" w:rsidRDefault="00245485" w:rsidP="00A12814">
            <w:pPr>
              <w:rPr>
                <w:b/>
                <w:sz w:val="22"/>
                <w:szCs w:val="22"/>
                <w:lang w:val="is-IS"/>
              </w:rPr>
            </w:pPr>
            <w:r w:rsidRPr="00C50CC4">
              <w:rPr>
                <w:b/>
                <w:sz w:val="22"/>
                <w:szCs w:val="22"/>
                <w:lang w:val="is-IS"/>
              </w:rPr>
              <w:t>7.2.</w:t>
            </w:r>
          </w:p>
        </w:tc>
        <w:tc>
          <w:tcPr>
            <w:tcW w:w="7697" w:type="dxa"/>
            <w:vAlign w:val="center"/>
          </w:tcPr>
          <w:p w:rsidR="00245485" w:rsidRPr="00C50CC4" w:rsidRDefault="00245485" w:rsidP="00245485">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Cs/>
                <w:sz w:val="22"/>
                <w:szCs w:val="22"/>
                <w:lang w:val="is-IS" w:eastAsia="is-IS"/>
              </w:rPr>
              <w:t>Upplýsingar um þekkta þróun, óvissuþætti, kröfur, skuldbindingar eða atburði sem búast má við að hafi veruleg áhrif á framtíðarhorfur útgefanda fyrir a.m.k. yfirstandandi fjárhagsár.</w:t>
            </w:r>
          </w:p>
        </w:tc>
      </w:tr>
      <w:tr w:rsidR="008844A6" w:rsidRPr="00C50CC4" w:rsidTr="00C50CC4">
        <w:trPr>
          <w:trHeight w:val="467"/>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8.</w:t>
            </w:r>
          </w:p>
        </w:tc>
        <w:tc>
          <w:tcPr>
            <w:tcW w:w="7697" w:type="dxa"/>
            <w:vAlign w:val="center"/>
          </w:tcPr>
          <w:p w:rsidR="008844A6" w:rsidRPr="00C50CC4" w:rsidRDefault="008844A6" w:rsidP="00111131">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AFKOMUSPÁ EÐA ÁÆTLUÐ AFKOMA</w:t>
            </w:r>
          </w:p>
          <w:p w:rsidR="008844A6" w:rsidRPr="00C50CC4" w:rsidRDefault="008844A6" w:rsidP="00111131">
            <w:pPr>
              <w:autoSpaceDE w:val="0"/>
              <w:autoSpaceDN w:val="0"/>
              <w:adjustRightInd w:val="0"/>
              <w:rPr>
                <w:rFonts w:ascii="TimesNewRoman,Bold" w:hAnsi="TimesNewRoman,Bold" w:cs="TimesNewRoman,Bold"/>
                <w:bCs/>
                <w:sz w:val="22"/>
                <w:szCs w:val="22"/>
                <w:lang w:val="is-IS" w:eastAsia="is-IS"/>
              </w:rPr>
            </w:pPr>
          </w:p>
          <w:p w:rsidR="008844A6"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útgefandi kýs að fella afkomuspá eða áætlaða afkomu inn í útgefandalýsingu skal hún hafa að geyma upplýsingar sem settar eru fram í liðum 8.1 og 8.2.</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8.1.</w:t>
            </w:r>
          </w:p>
        </w:tc>
        <w:tc>
          <w:tcPr>
            <w:tcW w:w="7697" w:type="dxa"/>
            <w:vAlign w:val="center"/>
          </w:tcPr>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Yfirlýsing þar sem tilgreindar eru helstu forsendur sem útgefandi byggir afkomuspá sína eða áætlaða afkomu á.</w:t>
            </w: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p>
          <w:p w:rsidR="008844A6"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Gera verður skýran greinarmun á forsendum sem aðilar að stjórn, framkvæmda</w:t>
            </w:r>
            <w:r w:rsidRPr="00C50CC4">
              <w:rPr>
                <w:rFonts w:ascii="TimesNewRoman,Bold" w:hAnsi="TimesNewRoman,Bold" w:cs="TimesNewRoman,Bold"/>
                <w:bCs/>
                <w:sz w:val="22"/>
                <w:szCs w:val="22"/>
                <w:lang w:val="is-IS" w:eastAsia="is-IS"/>
              </w:rPr>
              <w:softHyphen/>
              <w:t>stjórn eða eftirlitsstjórn geta haft áhrif á og forsendum sem liggja alveg utan áhrifasviðs þessara aðila. Forsendurnar skulu vera auðskiljanlegar fjárfestum, vera sértækar og nákvæmar og mega ekki tengjast almennri nákvæmni áætlaðrar afkomu sem liggur til grundvallar afkomuspánni.</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8.2.</w:t>
            </w:r>
          </w:p>
        </w:tc>
        <w:tc>
          <w:tcPr>
            <w:tcW w:w="7697" w:type="dxa"/>
            <w:vAlign w:val="center"/>
          </w:tcPr>
          <w:p w:rsidR="008844A6"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Skýrsla, sem óháðir skoðunarmenn eða endurskoðendur semja, skal fylgja með þar sem því er lýst yfir að að áliti þessara óháðu skoðunarmanna eða endur</w:t>
            </w:r>
            <w:r w:rsidRPr="00C50CC4">
              <w:rPr>
                <w:rFonts w:ascii="TimesNewRoman,Bold" w:hAnsi="TimesNewRoman,Bold" w:cs="TimesNewRoman,Bold"/>
                <w:bCs/>
                <w:sz w:val="22"/>
                <w:szCs w:val="22"/>
                <w:lang w:val="is-IS" w:eastAsia="is-IS"/>
              </w:rPr>
              <w:softHyphen/>
              <w:t>skoðenda sé afkomuspáin eða áætluð afkoma unnin á réttan hátt á grundvelli framlagðra upplýsinga og að þær aðferðir sem eru notaðar við gerð afkomuspár eða áætlaðrar afkomu, séu í samræmi við reikningsskilastefnu útgefanda.</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8.3.</w:t>
            </w:r>
          </w:p>
        </w:tc>
        <w:tc>
          <w:tcPr>
            <w:tcW w:w="7697" w:type="dxa"/>
            <w:vAlign w:val="center"/>
          </w:tcPr>
          <w:p w:rsidR="008844A6"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Vinna skal afkomuspá eða áætlaða afkomu á grunni sem er sambærilegur þeim sem er notaður fyrir sögulegar fjárhagsupplýsingar.</w:t>
            </w:r>
          </w:p>
        </w:tc>
      </w:tr>
      <w:tr w:rsidR="008844A6" w:rsidRPr="00C50CC4" w:rsidTr="00C50CC4">
        <w:trPr>
          <w:trHeight w:val="28"/>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9.</w:t>
            </w:r>
          </w:p>
        </w:tc>
        <w:tc>
          <w:tcPr>
            <w:tcW w:w="7697" w:type="dxa"/>
            <w:vAlign w:val="center"/>
          </w:tcPr>
          <w:p w:rsidR="008844A6" w:rsidRPr="00C50CC4" w:rsidRDefault="008844A6" w:rsidP="008844A6">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STJÓRN, FRAMKVÆMDASTJÓRN EÐA EFTIRLITSSTJÓRN</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9.1.</w:t>
            </w:r>
          </w:p>
        </w:tc>
        <w:tc>
          <w:tcPr>
            <w:tcW w:w="7697" w:type="dxa"/>
            <w:vAlign w:val="center"/>
          </w:tcPr>
          <w:p w:rsidR="00230210"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Nöfn, heimilisföng vinnustaða og, hlutverk eftirfarandi einstaklinga hjá útgefanda og upplýsingar um helstu störf þeirra utan útgefanda ef þau skipta máli gagnvart útgefandanum:</w:t>
            </w:r>
          </w:p>
          <w:p w:rsidR="00C50CC4" w:rsidRPr="00C50CC4" w:rsidRDefault="00C50CC4" w:rsidP="00230210">
            <w:pPr>
              <w:autoSpaceDE w:val="0"/>
              <w:autoSpaceDN w:val="0"/>
              <w:adjustRightInd w:val="0"/>
              <w:rPr>
                <w:rFonts w:ascii="TimesNewRoman,Bold" w:hAnsi="TimesNewRoman,Bold" w:cs="TimesNewRoman,Bold"/>
                <w:bCs/>
                <w:sz w:val="22"/>
                <w:szCs w:val="22"/>
                <w:lang w:val="is-IS" w:eastAsia="is-IS"/>
              </w:rPr>
            </w:pPr>
          </w:p>
          <w:p w:rsidR="00230210" w:rsidRDefault="00230210" w:rsidP="00230210">
            <w:pPr>
              <w:pStyle w:val="ListParagraph"/>
              <w:numPr>
                <w:ilvl w:val="0"/>
                <w:numId w:val="32"/>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Aðila að stjórn, framkvæmdastjórn eða eftirlitsstjórn,</w:t>
            </w:r>
          </w:p>
          <w:p w:rsidR="00C50CC4" w:rsidRPr="00C50CC4" w:rsidRDefault="00C50CC4" w:rsidP="00C50CC4">
            <w:pPr>
              <w:pStyle w:val="ListParagraph"/>
              <w:autoSpaceDE w:val="0"/>
              <w:autoSpaceDN w:val="0"/>
              <w:adjustRightInd w:val="0"/>
              <w:rPr>
                <w:rFonts w:ascii="TimesNewRoman,Bold" w:hAnsi="TimesNewRoman,Bold" w:cs="TimesNewRoman,Bold"/>
                <w:bCs/>
                <w:sz w:val="22"/>
                <w:szCs w:val="22"/>
                <w:lang w:val="is-IS" w:eastAsia="is-IS"/>
              </w:rPr>
            </w:pPr>
          </w:p>
          <w:p w:rsidR="008844A6" w:rsidRPr="00C50CC4" w:rsidRDefault="00230210" w:rsidP="00230210">
            <w:pPr>
              <w:pStyle w:val="ListParagraph"/>
              <w:numPr>
                <w:ilvl w:val="0"/>
                <w:numId w:val="32"/>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sameigenda með ótakmarkaða ábyrgð, ef um er að ræða samlagsfélag með hlutafé.</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9.2</w:t>
            </w:r>
          </w:p>
        </w:tc>
        <w:tc>
          <w:tcPr>
            <w:tcW w:w="7697" w:type="dxa"/>
            <w:vAlign w:val="center"/>
          </w:tcPr>
          <w:p w:rsidR="008844A6" w:rsidRPr="00C50CC4" w:rsidRDefault="008844A6" w:rsidP="008844A6">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Hagsmunaárekstrar stjórnar, framkvæmdastjórnar og eftirlitsstjórnar</w:t>
            </w:r>
          </w:p>
          <w:p w:rsidR="008844A6" w:rsidRPr="00C50CC4" w:rsidRDefault="008844A6" w:rsidP="008844A6">
            <w:pPr>
              <w:autoSpaceDE w:val="0"/>
              <w:autoSpaceDN w:val="0"/>
              <w:adjustRightInd w:val="0"/>
              <w:rPr>
                <w:rFonts w:ascii="TimesNewRoman,Bold" w:hAnsi="TimesNewRoman,Bold" w:cs="TimesNewRoman,Bold"/>
                <w:bCs/>
                <w:sz w:val="22"/>
                <w:szCs w:val="22"/>
                <w:lang w:val="is-IS" w:eastAsia="is-IS"/>
              </w:rPr>
            </w:pPr>
          </w:p>
          <w:p w:rsidR="008844A6"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Greina skal skilmerkilega frá hugsanlegum hagsmunaárekstrum milli skyldu</w:t>
            </w:r>
            <w:r w:rsidRPr="00C50CC4">
              <w:rPr>
                <w:rFonts w:ascii="TimesNewRoman,Bold" w:hAnsi="TimesNewRoman,Bold" w:cs="TimesNewRoman,Bold"/>
                <w:bCs/>
                <w:sz w:val="22"/>
                <w:szCs w:val="22"/>
                <w:lang w:val="is-IS" w:eastAsia="is-IS"/>
              </w:rPr>
              <w:softHyphen/>
              <w:t>starfa fyrir útgefanda hjá þeim einstaklingum sem vísað er til í lið 9.1 og persónu</w:t>
            </w:r>
            <w:r w:rsidRPr="00C50CC4">
              <w:rPr>
                <w:rFonts w:ascii="TimesNewRoman,Bold" w:hAnsi="TimesNewRoman,Bold" w:cs="TimesNewRoman,Bold"/>
                <w:bCs/>
                <w:sz w:val="22"/>
                <w:szCs w:val="22"/>
                <w:lang w:val="is-IS" w:eastAsia="is-IS"/>
              </w:rPr>
              <w:softHyphen/>
              <w:t>legra hagsmuna þeirra og/eða annarra skyldustarfa þeirra Ef ekki er um að ræða neina slíka árekstra skal gefa yfirlýsingu þess efnis.</w:t>
            </w:r>
          </w:p>
        </w:tc>
      </w:tr>
      <w:tr w:rsidR="008844A6" w:rsidRPr="00C50CC4" w:rsidTr="00C50CC4">
        <w:trPr>
          <w:trHeight w:val="28"/>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10.</w:t>
            </w:r>
          </w:p>
        </w:tc>
        <w:tc>
          <w:tcPr>
            <w:tcW w:w="7697" w:type="dxa"/>
            <w:vAlign w:val="center"/>
          </w:tcPr>
          <w:p w:rsidR="008844A6" w:rsidRPr="00C50CC4" w:rsidRDefault="008844A6" w:rsidP="008844A6">
            <w:pPr>
              <w:autoSpaceDE w:val="0"/>
              <w:autoSpaceDN w:val="0"/>
              <w:adjustRightInd w:val="0"/>
              <w:rPr>
                <w:rFonts w:ascii="TimesNewRoman,Bold" w:hAnsi="TimesNewRoman,Bold" w:cs="TimesNewRoman,Bold"/>
                <w:b/>
                <w:bCs/>
                <w:i/>
                <w:sz w:val="22"/>
                <w:szCs w:val="22"/>
                <w:lang w:val="is-IS" w:eastAsia="is-IS"/>
              </w:rPr>
            </w:pPr>
            <w:r w:rsidRPr="00C50CC4">
              <w:rPr>
                <w:rFonts w:ascii="TimesNewRoman,Bold" w:hAnsi="TimesNewRoman,Bold" w:cs="TimesNewRoman,Bold"/>
                <w:b/>
                <w:bCs/>
                <w:sz w:val="22"/>
                <w:szCs w:val="22"/>
                <w:lang w:val="is-IS" w:eastAsia="is-IS"/>
              </w:rPr>
              <w:t>STÆRSTU HLUTHAFAR</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10.1.</w:t>
            </w:r>
          </w:p>
        </w:tc>
        <w:tc>
          <w:tcPr>
            <w:tcW w:w="7697" w:type="dxa"/>
            <w:vAlign w:val="center"/>
          </w:tcPr>
          <w:p w:rsidR="008844A6" w:rsidRPr="00C50CC4" w:rsidRDefault="00230210" w:rsidP="00230210">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Cs/>
                <w:sz w:val="22"/>
                <w:szCs w:val="22"/>
                <w:lang w:val="is-IS" w:eastAsia="is-IS"/>
              </w:rPr>
              <w:t>Að því marki sem útgefanda er kunnugt um skal greina frá því hvort útgefandi sé beint eða óbeint í eigu eða undir yfirráðum einhvers aðila og hver sá aðili er, og lýsa skal eðli slíkra yfirráða og þeim ráðstöfunum sem gerðar eru til að tryggja að slík yfirráð séu ekki misnotuð.</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10.2.</w:t>
            </w:r>
          </w:p>
        </w:tc>
        <w:tc>
          <w:tcPr>
            <w:tcW w:w="7697" w:type="dxa"/>
            <w:vAlign w:val="center"/>
          </w:tcPr>
          <w:p w:rsidR="008844A6"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Lýsa skal hvers konar fyrirkomulagi, sem útgefanda er kunnugt um, sem getur seinna meir haft í för með sér breytingar á yfirráðum yfir útgefanda.</w:t>
            </w:r>
          </w:p>
        </w:tc>
      </w:tr>
      <w:tr w:rsidR="008844A6" w:rsidRPr="00C50CC4" w:rsidTr="00C50CC4">
        <w:trPr>
          <w:trHeight w:val="104"/>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11.</w:t>
            </w:r>
          </w:p>
        </w:tc>
        <w:tc>
          <w:tcPr>
            <w:tcW w:w="7697" w:type="dxa"/>
            <w:vAlign w:val="center"/>
          </w:tcPr>
          <w:p w:rsidR="008844A6" w:rsidRPr="00C50CC4" w:rsidRDefault="008844A6" w:rsidP="008844A6">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FJÁRHAGSUPPLÝSINGAR AÐ ÞVÍ ER VARÐAR EIGNIR OG SKULDIR ÚTGEFANDA, FJÁRHAGSSTÖÐU HANS OG HAGNAÐ OG TAP</w:t>
            </w:r>
          </w:p>
        </w:tc>
      </w:tr>
      <w:tr w:rsidR="008844A6" w:rsidRPr="00C50CC4" w:rsidTr="00C50CC4">
        <w:trPr>
          <w:trHeight w:val="333"/>
        </w:trPr>
        <w:tc>
          <w:tcPr>
            <w:tcW w:w="1101" w:type="dxa"/>
          </w:tcPr>
          <w:p w:rsidR="008844A6" w:rsidRPr="00C50CC4" w:rsidRDefault="008844A6" w:rsidP="00A12814">
            <w:pPr>
              <w:rPr>
                <w:sz w:val="22"/>
                <w:szCs w:val="22"/>
                <w:lang w:val="is-IS"/>
              </w:rPr>
            </w:pPr>
          </w:p>
        </w:tc>
        <w:tc>
          <w:tcPr>
            <w:tcW w:w="850" w:type="dxa"/>
          </w:tcPr>
          <w:p w:rsidR="008844A6" w:rsidRPr="00C50CC4" w:rsidRDefault="008844A6" w:rsidP="00A12814">
            <w:pPr>
              <w:rPr>
                <w:b/>
                <w:sz w:val="22"/>
                <w:szCs w:val="22"/>
                <w:lang w:val="is-IS"/>
              </w:rPr>
            </w:pPr>
            <w:r w:rsidRPr="00C50CC4">
              <w:rPr>
                <w:b/>
                <w:sz w:val="22"/>
                <w:szCs w:val="22"/>
                <w:lang w:val="is-IS"/>
              </w:rPr>
              <w:t>11.1.</w:t>
            </w:r>
          </w:p>
        </w:tc>
        <w:tc>
          <w:tcPr>
            <w:tcW w:w="7697" w:type="dxa"/>
            <w:vAlign w:val="center"/>
          </w:tcPr>
          <w:p w:rsidR="007A7FC7" w:rsidRPr="00C50CC4" w:rsidRDefault="007A7FC7" w:rsidP="007A7FC7">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Sögulegar fjárhagsupplýsingar</w:t>
            </w:r>
          </w:p>
          <w:p w:rsidR="007A7FC7" w:rsidRPr="00C50CC4" w:rsidRDefault="007A7FC7" w:rsidP="007A7FC7">
            <w:pPr>
              <w:autoSpaceDE w:val="0"/>
              <w:autoSpaceDN w:val="0"/>
              <w:adjustRightInd w:val="0"/>
              <w:rPr>
                <w:rFonts w:ascii="TimesNewRoman,Bold" w:hAnsi="TimesNewRoman,Bold" w:cs="TimesNewRoman,Bold"/>
                <w:bCs/>
                <w:sz w:val="22"/>
                <w:szCs w:val="22"/>
                <w:lang w:val="is-IS" w:eastAsia="is-IS"/>
              </w:rPr>
            </w:pP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Endurskoðaðar sögulegar fjárhagsupplýsingar sem taka til tveggja síðustu fjárhags</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ára (eða eins lengi og útgefandinn hefur rekið fyrirtæki ef tímabilið er styttra en tvö ár) ásamt skýrslu endurskoðanda fyrir hvert ár. Semja skal slíkar fjárhags</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upplýsingar í samræmi við reglugerð (EB) nr. 1606/2002, eða, ef það á ekki við, í samræmi við innlenda reikningsskilastaðla tiltekins aðildarríkis fyrir útgefendur innan Bandalagsins. Útgefendur frá þriðja landi skulu semja slíkar fjárhags</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upplýsingar í samræmi við alþjóðlega reikningsskilastaðla sem voru</w:t>
            </w:r>
            <w:r w:rsidR="006E6256">
              <w:rPr>
                <w:rFonts w:ascii="TimesNewRoman,Bold" w:hAnsi="TimesNewRoman,Bold" w:cs="TimesNewRoman,Bold"/>
                <w:bCs/>
                <w:sz w:val="22"/>
                <w:szCs w:val="22"/>
                <w:lang w:val="is-IS" w:eastAsia="is-IS"/>
              </w:rPr>
              <w:t xml:space="preserve"> </w:t>
            </w:r>
            <w:r w:rsidRPr="00C50CC4">
              <w:rPr>
                <w:rFonts w:ascii="TimesNewRoman,Bold" w:hAnsi="TimesNewRoman,Bold" w:cs="TimesNewRoman,Bold"/>
                <w:bCs/>
                <w:sz w:val="22"/>
                <w:szCs w:val="22"/>
                <w:lang w:val="is-IS" w:eastAsia="is-IS"/>
              </w:rPr>
              <w:t>samþykktir samkvæmt málsmeðferðinni í 3. gr. reglugerðar (EB) nr. 1606/2002 eða samkvæmt innlendum reikningsskilastöðlum í þriðja landi sem eru sam</w:t>
            </w:r>
            <w:r w:rsidRPr="00C50CC4">
              <w:rPr>
                <w:rFonts w:ascii="TimesNewRoman,Bold" w:hAnsi="TimesNewRoman,Bold" w:cs="TimesNewRoman,Bold"/>
                <w:bCs/>
                <w:sz w:val="22"/>
                <w:szCs w:val="22"/>
                <w:lang w:val="is-IS" w:eastAsia="is-IS"/>
              </w:rPr>
              <w:softHyphen/>
              <w:t>bærilegir þessum stöðlum. Ef slíkar fjárhagsupplýsingar eru ekki sambærilegar þessum stöðlum skal setja þær fram í formi endurgerðra reikningsskila.</w:t>
            </w: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 xml:space="preserve">Fjárhagsupplýsingar næstliðins árs skal leggja fram og semja á sambærilegu formi og það sem notað verður við birtingu næstu árlegu reikningsskila útgefanda með hliðsjón af reikningsskilastöðlum, stefnu og löggjöf sem gildir um slík árleg </w:t>
            </w:r>
            <w:r w:rsidRPr="00C50CC4">
              <w:rPr>
                <w:rFonts w:ascii="TimesNewRoman,Bold" w:hAnsi="TimesNewRoman,Bold" w:cs="TimesNewRoman,Bold"/>
                <w:bCs/>
                <w:sz w:val="22"/>
                <w:szCs w:val="22"/>
                <w:lang w:val="is-IS" w:eastAsia="is-IS"/>
              </w:rPr>
              <w:lastRenderedPageBreak/>
              <w:t xml:space="preserve">reikningsskil. </w:t>
            </w: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útgefandinn hefur verið virkur í núverandi atvinnustarfsemi sinni í innan við eitt ár skal semja endurskoðuðu, sögulegu fjárhagsupplýsingarnar, sem taka til þessa tímabils, í samræmi við staðla sem gilda um árleg reikningsskil samkvæmt reglugerð (EB) nr. 1606/2002 eða, ef þeir gilda ekki um aðildarríki, innlenda</w:t>
            </w:r>
            <w:r w:rsidR="006E6256">
              <w:rPr>
                <w:rFonts w:ascii="TimesNewRoman,Bold" w:hAnsi="TimesNewRoman,Bold" w:cs="TimesNewRoman,Bold"/>
                <w:bCs/>
                <w:sz w:val="22"/>
                <w:szCs w:val="22"/>
                <w:lang w:val="is-IS" w:eastAsia="is-IS"/>
              </w:rPr>
              <w:t xml:space="preserve"> </w:t>
            </w:r>
            <w:r w:rsidRPr="00C50CC4">
              <w:rPr>
                <w:rFonts w:ascii="TimesNewRoman,Bold" w:hAnsi="TimesNewRoman,Bold" w:cs="TimesNewRoman,Bold"/>
                <w:bCs/>
                <w:sz w:val="22"/>
                <w:szCs w:val="22"/>
                <w:lang w:val="is-IS" w:eastAsia="is-IS"/>
              </w:rPr>
              <w:t>reikningsskila</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staðla þar sem útgefandi er útgefandi innan Bandalagsins. Útgefendur frá þriðja landi skulu semja sögulegar fjárhagsupplýsingar í samræmi við alþjóðlega reiknings</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skilastaðla sem voru samþykktir samkvæmt málsmeð</w:t>
            </w:r>
            <w:r w:rsidRPr="00C50CC4">
              <w:rPr>
                <w:rFonts w:ascii="TimesNewRoman,Bold" w:hAnsi="TimesNewRoman,Bold" w:cs="TimesNewRoman,Bold"/>
                <w:bCs/>
                <w:sz w:val="22"/>
                <w:szCs w:val="22"/>
                <w:lang w:val="is-IS" w:eastAsia="is-IS"/>
              </w:rPr>
              <w:softHyphen/>
              <w:t>ferðinni í 3. gr. reglugerðar (EB) nr. 1606/2002 eða samkvæmt innlendum reikningsskilastöðlum í þriðja landi sem eru sambærilegir þessum stöðlum. Þessar sögulegu fjárhags</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upplýsingar skulu vera endurskoðaðar.</w:t>
            </w: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p>
          <w:p w:rsidR="00230210"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endurskoðuðu fjárhagsupplýsingarnar eru samdar í samræmi við innlenda reikningsskilastaðla skulu fjárhagsupplýsingarnar, sem krafist er samkvæmt þessum lið, a.m.k. fela í sér eftirfarandi:</w:t>
            </w:r>
          </w:p>
          <w:p w:rsidR="00C50CC4" w:rsidRPr="00C50CC4" w:rsidRDefault="00C50CC4" w:rsidP="00230210">
            <w:pPr>
              <w:autoSpaceDE w:val="0"/>
              <w:autoSpaceDN w:val="0"/>
              <w:adjustRightInd w:val="0"/>
              <w:rPr>
                <w:rFonts w:ascii="TimesNewRoman,Bold" w:hAnsi="TimesNewRoman,Bold" w:cs="TimesNewRoman,Bold"/>
                <w:bCs/>
                <w:sz w:val="22"/>
                <w:szCs w:val="22"/>
                <w:lang w:val="is-IS" w:eastAsia="is-IS"/>
              </w:rPr>
            </w:pPr>
          </w:p>
          <w:p w:rsidR="00230210" w:rsidRDefault="00230210" w:rsidP="00230210">
            <w:pPr>
              <w:pStyle w:val="ListParagraph"/>
              <w:numPr>
                <w:ilvl w:val="0"/>
                <w:numId w:val="34"/>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Efnahagsreikning,</w:t>
            </w:r>
          </w:p>
          <w:p w:rsidR="00C50CC4" w:rsidRPr="00C50CC4" w:rsidRDefault="00C50CC4" w:rsidP="00C50CC4">
            <w:pPr>
              <w:pStyle w:val="ListParagraph"/>
              <w:autoSpaceDE w:val="0"/>
              <w:autoSpaceDN w:val="0"/>
              <w:adjustRightInd w:val="0"/>
              <w:rPr>
                <w:rFonts w:ascii="TimesNewRoman,Bold" w:hAnsi="TimesNewRoman,Bold" w:cs="TimesNewRoman,Bold"/>
                <w:bCs/>
                <w:sz w:val="22"/>
                <w:szCs w:val="22"/>
                <w:lang w:val="is-IS" w:eastAsia="is-IS"/>
              </w:rPr>
            </w:pPr>
          </w:p>
          <w:p w:rsidR="00230210" w:rsidRDefault="00230210" w:rsidP="00230210">
            <w:pPr>
              <w:pStyle w:val="ListParagraph"/>
              <w:numPr>
                <w:ilvl w:val="0"/>
                <w:numId w:val="34"/>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rekstrarreikning,</w:t>
            </w:r>
          </w:p>
          <w:p w:rsidR="00C50CC4" w:rsidRPr="00C50CC4" w:rsidRDefault="00C50CC4" w:rsidP="00C50CC4">
            <w:pPr>
              <w:pStyle w:val="ListParagraph"/>
              <w:rPr>
                <w:rFonts w:ascii="TimesNewRoman,Bold" w:hAnsi="TimesNewRoman,Bold" w:cs="TimesNewRoman,Bold"/>
                <w:bCs/>
                <w:sz w:val="22"/>
                <w:szCs w:val="22"/>
                <w:lang w:val="is-IS" w:eastAsia="is-IS"/>
              </w:rPr>
            </w:pPr>
          </w:p>
          <w:p w:rsidR="00230210" w:rsidRDefault="00230210" w:rsidP="00230210">
            <w:pPr>
              <w:pStyle w:val="ListParagraph"/>
              <w:numPr>
                <w:ilvl w:val="0"/>
                <w:numId w:val="34"/>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sjóðstreymisyfirlit, ef um er að ræða skráningu verðbréfa á skipulegan verðbréfamarkað,</w:t>
            </w:r>
          </w:p>
          <w:p w:rsidR="00C50CC4" w:rsidRPr="00C50CC4" w:rsidRDefault="00C50CC4" w:rsidP="00C50CC4">
            <w:pPr>
              <w:pStyle w:val="ListParagraph"/>
              <w:rPr>
                <w:rFonts w:ascii="TimesNewRoman,Bold" w:hAnsi="TimesNewRoman,Bold" w:cs="TimesNewRoman,Bold"/>
                <w:bCs/>
                <w:sz w:val="22"/>
                <w:szCs w:val="22"/>
                <w:lang w:val="is-IS" w:eastAsia="is-IS"/>
              </w:rPr>
            </w:pPr>
          </w:p>
          <w:p w:rsidR="00230210" w:rsidRPr="00C50CC4" w:rsidRDefault="00230210" w:rsidP="00230210">
            <w:pPr>
              <w:pStyle w:val="ListParagraph"/>
              <w:numPr>
                <w:ilvl w:val="0"/>
                <w:numId w:val="34"/>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reikningsskilaaðferðir og skýringar.</w:t>
            </w:r>
          </w:p>
          <w:p w:rsidR="00230210" w:rsidRPr="00C50CC4" w:rsidRDefault="00230210" w:rsidP="00230210">
            <w:pPr>
              <w:autoSpaceDE w:val="0"/>
              <w:autoSpaceDN w:val="0"/>
              <w:adjustRightInd w:val="0"/>
              <w:rPr>
                <w:rFonts w:ascii="TimesNewRoman,Bold" w:hAnsi="TimesNewRoman,Bold" w:cs="TimesNewRoman,Bold"/>
                <w:bCs/>
                <w:sz w:val="22"/>
                <w:szCs w:val="22"/>
                <w:lang w:val="is-IS" w:eastAsia="is-IS"/>
              </w:rPr>
            </w:pPr>
          </w:p>
          <w:p w:rsidR="008844A6" w:rsidRPr="00C50CC4" w:rsidRDefault="00230210" w:rsidP="00230210">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Sögulegar, árlegar fjárhagsupplýsingar skulu vera endurskoðaðar sérstaklega eða þeim skal fylgja óháð skýrsla þar sem fram kemur hvort þær gefi glögga mynd af útgefanda í útgefandalýsingunni í samræmi við endurskoðunarstaðla, sem gilda í viðkomandi aðildarríki, eða sambærilegan staðal.</w:t>
            </w:r>
          </w:p>
        </w:tc>
      </w:tr>
      <w:tr w:rsidR="00BA3CA0" w:rsidRPr="00C50CC4" w:rsidTr="006E6256">
        <w:trPr>
          <w:trHeight w:val="28"/>
        </w:trPr>
        <w:tc>
          <w:tcPr>
            <w:tcW w:w="1101" w:type="dxa"/>
          </w:tcPr>
          <w:p w:rsidR="00BA3CA0" w:rsidRPr="00C50CC4" w:rsidRDefault="00BA3CA0" w:rsidP="00A12814">
            <w:pPr>
              <w:rPr>
                <w:sz w:val="22"/>
                <w:szCs w:val="22"/>
                <w:lang w:val="is-IS"/>
              </w:rPr>
            </w:pPr>
          </w:p>
        </w:tc>
        <w:tc>
          <w:tcPr>
            <w:tcW w:w="850" w:type="dxa"/>
          </w:tcPr>
          <w:p w:rsidR="00BA3CA0" w:rsidRPr="00C50CC4" w:rsidRDefault="00BA3CA0" w:rsidP="00A12814">
            <w:pPr>
              <w:rPr>
                <w:b/>
                <w:sz w:val="22"/>
                <w:szCs w:val="22"/>
                <w:lang w:val="is-IS"/>
              </w:rPr>
            </w:pPr>
            <w:r w:rsidRPr="00C50CC4">
              <w:rPr>
                <w:b/>
                <w:sz w:val="22"/>
                <w:szCs w:val="22"/>
                <w:lang w:val="is-IS"/>
              </w:rPr>
              <w:t>11.2.</w:t>
            </w:r>
          </w:p>
        </w:tc>
        <w:tc>
          <w:tcPr>
            <w:tcW w:w="7697" w:type="dxa"/>
            <w:vAlign w:val="center"/>
          </w:tcPr>
          <w:p w:rsidR="00BA3CA0" w:rsidRPr="00C50CC4" w:rsidRDefault="00BA3CA0" w:rsidP="007A7FC7">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Reikningsskil</w:t>
            </w:r>
          </w:p>
          <w:p w:rsidR="00BA3CA0" w:rsidRPr="00C50CC4" w:rsidRDefault="00BA3CA0" w:rsidP="007A7FC7">
            <w:pPr>
              <w:autoSpaceDE w:val="0"/>
              <w:autoSpaceDN w:val="0"/>
              <w:adjustRightInd w:val="0"/>
              <w:rPr>
                <w:rFonts w:ascii="TimesNewRoman,Bold" w:hAnsi="TimesNewRoman,Bold" w:cs="TimesNewRoman,Bold"/>
                <w:bCs/>
                <w:i/>
                <w:sz w:val="22"/>
                <w:szCs w:val="22"/>
                <w:lang w:val="is-IS" w:eastAsia="is-IS"/>
              </w:rPr>
            </w:pPr>
          </w:p>
          <w:p w:rsidR="00BA3CA0" w:rsidRPr="00C50CC4" w:rsidRDefault="005D6763" w:rsidP="005D6763">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sz w:val="22"/>
                <w:szCs w:val="22"/>
                <w:lang w:val="is-IS" w:eastAsia="is-IS"/>
              </w:rPr>
              <w:t>Ef útgefandi semur bæði eigin reikningsskil og samstæðureikningsskil skal a.m.k. fella samstæðureikningsskilin inn í útgefandalýsinguna.</w:t>
            </w:r>
          </w:p>
        </w:tc>
      </w:tr>
      <w:tr w:rsidR="00BA3CA0" w:rsidRPr="00C50CC4" w:rsidTr="006E6256">
        <w:trPr>
          <w:trHeight w:val="28"/>
        </w:trPr>
        <w:tc>
          <w:tcPr>
            <w:tcW w:w="1101" w:type="dxa"/>
          </w:tcPr>
          <w:p w:rsidR="00BA3CA0" w:rsidRPr="00C50CC4" w:rsidRDefault="00BA3CA0" w:rsidP="00A12814">
            <w:pPr>
              <w:rPr>
                <w:sz w:val="22"/>
                <w:szCs w:val="22"/>
                <w:lang w:val="is-IS"/>
              </w:rPr>
            </w:pPr>
          </w:p>
        </w:tc>
        <w:tc>
          <w:tcPr>
            <w:tcW w:w="850" w:type="dxa"/>
          </w:tcPr>
          <w:p w:rsidR="00BA3CA0" w:rsidRPr="00C50CC4" w:rsidRDefault="00052A6B" w:rsidP="00A12814">
            <w:pPr>
              <w:rPr>
                <w:b/>
                <w:sz w:val="22"/>
                <w:szCs w:val="22"/>
                <w:lang w:val="is-IS"/>
              </w:rPr>
            </w:pPr>
            <w:r w:rsidRPr="00C50CC4">
              <w:rPr>
                <w:b/>
                <w:sz w:val="22"/>
                <w:szCs w:val="22"/>
                <w:lang w:val="is-IS"/>
              </w:rPr>
              <w:t>11.3.</w:t>
            </w:r>
          </w:p>
        </w:tc>
        <w:tc>
          <w:tcPr>
            <w:tcW w:w="7697" w:type="dxa"/>
            <w:vAlign w:val="center"/>
          </w:tcPr>
          <w:p w:rsidR="00BA3CA0" w:rsidRPr="00C50CC4" w:rsidRDefault="00052A6B" w:rsidP="007A7FC7">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Endurskoðun sögulegra, árlegra fjárhagsupplýsinga</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11.3.1.</w:t>
            </w:r>
          </w:p>
        </w:tc>
        <w:tc>
          <w:tcPr>
            <w:tcW w:w="7697" w:type="dxa"/>
            <w:vAlign w:val="center"/>
          </w:tcPr>
          <w:p w:rsidR="00052A6B" w:rsidRPr="00C50CC4" w:rsidRDefault="005D6763" w:rsidP="005D6763">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sz w:val="22"/>
                <w:szCs w:val="22"/>
                <w:lang w:val="is-IS" w:eastAsia="is-IS"/>
              </w:rPr>
              <w:t>Yfirlýsing þess efnis að sögulegar fjárhagsupplýsingar hafi verið endurskoðaðar. Ef að fram hefur komið í endurskoðunarskýrslu vegna sögulegra fjárhags</w:t>
            </w:r>
            <w:r w:rsidRPr="00C50CC4">
              <w:rPr>
                <w:rFonts w:ascii="TimesNewRoman,Bold" w:hAnsi="TimesNewRoman,Bold" w:cs="TimesNewRoman,Bold"/>
                <w:bCs/>
                <w:sz w:val="22"/>
                <w:szCs w:val="22"/>
                <w:lang w:val="is-IS" w:eastAsia="is-IS"/>
              </w:rPr>
              <w:softHyphen/>
              <w:t>upplýsinga að löggiltir endurskoðendur hafi hafnað að veita áritun eða ef áritun þeirra hefur að geyma fyrirvara eða afsal ábyrgðar skal birta slíka höfnun eða fyrirvara eða afsal í heild sinni og tilgreina ástæður þeirra.</w:t>
            </w:r>
          </w:p>
        </w:tc>
      </w:tr>
      <w:tr w:rsidR="00052A6B" w:rsidRPr="00C50CC4" w:rsidTr="006E6256">
        <w:trPr>
          <w:trHeight w:val="377"/>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11.3.2.</w:t>
            </w:r>
          </w:p>
        </w:tc>
        <w:tc>
          <w:tcPr>
            <w:tcW w:w="7697" w:type="dxa"/>
            <w:vAlign w:val="center"/>
          </w:tcPr>
          <w:p w:rsidR="00052A6B" w:rsidRPr="00C50CC4" w:rsidRDefault="005D6763" w:rsidP="00052A6B">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Tilgreina skal aðrar upplýsingar í útgefandalýsingu sem endurskoðendur hafa endurskoðað.</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11.3.3.</w:t>
            </w:r>
          </w:p>
        </w:tc>
        <w:tc>
          <w:tcPr>
            <w:tcW w:w="7697" w:type="dxa"/>
            <w:vAlign w:val="center"/>
          </w:tcPr>
          <w:p w:rsidR="00052A6B" w:rsidRPr="00C50CC4" w:rsidRDefault="005D6763" w:rsidP="005D6763">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fjárhagsupplýsingar í útgefandalýsingu eru ekki fengnar úr endurskoðuðum reikningsskilum útgefanda skal tilgreina hvaðan þær eru fengnar og skýra frá því að upplýsingarnar séu ekki endurskoðaðar.</w:t>
            </w:r>
          </w:p>
        </w:tc>
      </w:tr>
      <w:tr w:rsidR="00052A6B" w:rsidRPr="00C50CC4" w:rsidTr="006E6256">
        <w:trPr>
          <w:trHeight w:val="144"/>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11.4.</w:t>
            </w:r>
          </w:p>
        </w:tc>
        <w:tc>
          <w:tcPr>
            <w:tcW w:w="7697" w:type="dxa"/>
            <w:vAlign w:val="center"/>
          </w:tcPr>
          <w:p w:rsidR="00052A6B" w:rsidRPr="00C50CC4" w:rsidRDefault="00052A6B" w:rsidP="00052A6B">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Síðustu fjárhagsupplýsingar</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11.4.1.</w:t>
            </w:r>
          </w:p>
        </w:tc>
        <w:tc>
          <w:tcPr>
            <w:tcW w:w="7697" w:type="dxa"/>
            <w:vAlign w:val="center"/>
          </w:tcPr>
          <w:p w:rsidR="00052A6B" w:rsidRPr="00C50CC4" w:rsidRDefault="005D6763" w:rsidP="005D6763">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Ekki má vera lengra um liðið frá síðasta fjárhagsári, sem endurskoðaðar fjárhags</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upplýsingar liggja fyrir um en 18 mánuðir miðað við dagsetningu útgefandalýsingar.</w:t>
            </w:r>
          </w:p>
        </w:tc>
      </w:tr>
      <w:tr w:rsidR="00052A6B" w:rsidRPr="00C50CC4" w:rsidTr="00C50CC4">
        <w:trPr>
          <w:trHeight w:val="28"/>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11.5.</w:t>
            </w:r>
          </w:p>
        </w:tc>
        <w:tc>
          <w:tcPr>
            <w:tcW w:w="7697" w:type="dxa"/>
            <w:vAlign w:val="center"/>
          </w:tcPr>
          <w:p w:rsidR="00052A6B" w:rsidRPr="00C50CC4" w:rsidRDefault="005D6763" w:rsidP="00052A6B">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Fjárhagsupplýsingar árshluta og aðrar fjárhagsupplýsingar</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11.5.1.</w:t>
            </w:r>
          </w:p>
        </w:tc>
        <w:tc>
          <w:tcPr>
            <w:tcW w:w="7697" w:type="dxa"/>
            <w:vAlign w:val="center"/>
          </w:tcPr>
          <w:p w:rsidR="00052A6B" w:rsidRPr="00C50CC4" w:rsidRDefault="005D6763" w:rsidP="005D6763">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útgefandinn hefur birt ársfjórðungslegar eða hálfsárs fjárhagsupplýsingar frá því síðustu reikningsskil voru endurskoðuð skulu þær felldar inn í útgefanda</w:t>
            </w:r>
            <w:r w:rsidRPr="00C50CC4">
              <w:rPr>
                <w:rFonts w:ascii="TimesNewRoman,Bold" w:hAnsi="TimesNewRoman,Bold" w:cs="TimesNewRoman,Bold"/>
                <w:bCs/>
                <w:sz w:val="22"/>
                <w:szCs w:val="22"/>
                <w:lang w:val="is-IS" w:eastAsia="is-IS"/>
              </w:rPr>
              <w:softHyphen/>
              <w:t>lýsingu. Ef ársfjórðungslegar eða hálfsárs fjárhagsupplýsingar hafa verið kannaðar eða endur</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skoðaðar skal einnig fella endurskoðunar- eða könnunar</w:t>
            </w:r>
            <w:r w:rsidRPr="00C50CC4">
              <w:rPr>
                <w:rFonts w:ascii="TimesNewRoman,Bold" w:hAnsi="TimesNewRoman,Bold" w:cs="TimesNewRoman,Bold"/>
                <w:bCs/>
                <w:sz w:val="22"/>
                <w:szCs w:val="22"/>
                <w:lang w:val="is-IS" w:eastAsia="is-IS"/>
              </w:rPr>
              <w:softHyphen/>
              <w:t>skýrsluna þar inn í. Ef ársfjórðungslegar eða hálfsárs fjárhagsupplýsingar hafa ekki verið endurskoðaðar eða kannaðar skal skýra frá því.</w:t>
            </w:r>
          </w:p>
        </w:tc>
      </w:tr>
      <w:tr w:rsidR="005D6763" w:rsidRPr="00C50CC4" w:rsidTr="00C50CC4">
        <w:trPr>
          <w:trHeight w:val="333"/>
        </w:trPr>
        <w:tc>
          <w:tcPr>
            <w:tcW w:w="1101" w:type="dxa"/>
          </w:tcPr>
          <w:p w:rsidR="005D6763" w:rsidRPr="00C50CC4" w:rsidRDefault="005D6763" w:rsidP="00A12814">
            <w:pPr>
              <w:rPr>
                <w:sz w:val="22"/>
                <w:szCs w:val="22"/>
                <w:lang w:val="is-IS"/>
              </w:rPr>
            </w:pPr>
          </w:p>
        </w:tc>
        <w:tc>
          <w:tcPr>
            <w:tcW w:w="850" w:type="dxa"/>
          </w:tcPr>
          <w:p w:rsidR="005D6763" w:rsidRPr="00C50CC4" w:rsidRDefault="005D6763" w:rsidP="00A12814">
            <w:pPr>
              <w:rPr>
                <w:b/>
                <w:sz w:val="22"/>
                <w:szCs w:val="22"/>
                <w:lang w:val="is-IS"/>
              </w:rPr>
            </w:pPr>
            <w:r w:rsidRPr="00C50CC4">
              <w:rPr>
                <w:b/>
                <w:sz w:val="22"/>
                <w:szCs w:val="22"/>
                <w:lang w:val="is-IS"/>
              </w:rPr>
              <w:t>11.5.2.</w:t>
            </w:r>
          </w:p>
        </w:tc>
        <w:tc>
          <w:tcPr>
            <w:tcW w:w="7697" w:type="dxa"/>
            <w:vAlign w:val="center"/>
          </w:tcPr>
          <w:p w:rsidR="005D6763" w:rsidRPr="00C50CC4" w:rsidRDefault="005D6763" w:rsidP="005D6763">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útgefandalýsing er dagsett meira en níu mánuðum eftir lok síðasta endur</w:t>
            </w:r>
            <w:r w:rsidRPr="00C50CC4">
              <w:rPr>
                <w:rFonts w:ascii="TimesNewRoman,Bold" w:hAnsi="TimesNewRoman,Bold" w:cs="TimesNewRoman,Bold"/>
                <w:bCs/>
                <w:sz w:val="22"/>
                <w:szCs w:val="22"/>
                <w:lang w:val="is-IS" w:eastAsia="is-IS"/>
              </w:rPr>
              <w:softHyphen/>
              <w:t>skoðaða fjárhagsárs, skal hún hafa að geyma fjárhagsupplýsingar árshluta sem taka a.m.k. til fyrstu sex mánaða fjárhagsársins Ef fjárhagsupplýsingar árshluta eru ekki endur</w:t>
            </w:r>
            <w:r w:rsidR="006E6256">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skoðaðar skal skýra frá því.</w:t>
            </w:r>
          </w:p>
          <w:p w:rsidR="00861AF4" w:rsidRPr="00C50CC4" w:rsidRDefault="00861AF4" w:rsidP="005D6763">
            <w:pPr>
              <w:autoSpaceDE w:val="0"/>
              <w:autoSpaceDN w:val="0"/>
              <w:adjustRightInd w:val="0"/>
              <w:rPr>
                <w:rFonts w:ascii="TimesNewRoman,Bold" w:hAnsi="TimesNewRoman,Bold" w:cs="TimesNewRoman,Bold"/>
                <w:bCs/>
                <w:sz w:val="22"/>
                <w:szCs w:val="22"/>
                <w:lang w:val="is-IS" w:eastAsia="is-IS"/>
              </w:rPr>
            </w:pPr>
          </w:p>
          <w:p w:rsidR="005D6763" w:rsidRPr="00C50CC4" w:rsidRDefault="005D6763" w:rsidP="00861AF4">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sz w:val="22"/>
                <w:szCs w:val="22"/>
                <w:lang w:val="is-IS" w:eastAsia="is-IS"/>
              </w:rPr>
              <w:t>Í fjárhagsupplýsingum árshluta skulu vera samanburðarupplýsingar fyrir sama tímabil fyrra fjárhagsárs, að</w:t>
            </w:r>
            <w:r w:rsidR="00861AF4" w:rsidRPr="00C50CC4">
              <w:rPr>
                <w:rFonts w:ascii="TimesNewRoman,Bold" w:hAnsi="TimesNewRoman,Bold" w:cs="TimesNewRoman,Bold"/>
                <w:bCs/>
                <w:sz w:val="22"/>
                <w:szCs w:val="22"/>
                <w:lang w:val="is-IS" w:eastAsia="is-IS"/>
              </w:rPr>
              <w:t xml:space="preserve"> </w:t>
            </w:r>
            <w:r w:rsidRPr="00C50CC4">
              <w:rPr>
                <w:rFonts w:ascii="TimesNewRoman,Bold" w:hAnsi="TimesNewRoman,Bold" w:cs="TimesNewRoman,Bold"/>
                <w:bCs/>
                <w:sz w:val="22"/>
                <w:szCs w:val="22"/>
                <w:lang w:val="is-IS" w:eastAsia="is-IS"/>
              </w:rPr>
              <w:t>undanskildu því að uppfylla má kröfu um saman</w:t>
            </w:r>
            <w:r w:rsidR="00861AF4" w:rsidRPr="00C50CC4">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burðar</w:t>
            </w:r>
            <w:r w:rsidR="00861AF4" w:rsidRPr="00C50CC4">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upplýsingar um efnahagsreikning með því að leggja fram</w:t>
            </w:r>
            <w:r w:rsidR="00861AF4" w:rsidRPr="00C50CC4">
              <w:rPr>
                <w:rFonts w:ascii="TimesNewRoman,Bold" w:hAnsi="TimesNewRoman,Bold" w:cs="TimesNewRoman,Bold"/>
                <w:bCs/>
                <w:sz w:val="22"/>
                <w:szCs w:val="22"/>
                <w:lang w:val="is-IS" w:eastAsia="is-IS"/>
              </w:rPr>
              <w:t xml:space="preserve"> </w:t>
            </w:r>
            <w:r w:rsidRPr="00C50CC4">
              <w:rPr>
                <w:rFonts w:ascii="TimesNewRoman,Bold" w:hAnsi="TimesNewRoman,Bold" w:cs="TimesNewRoman,Bold"/>
                <w:bCs/>
                <w:sz w:val="22"/>
                <w:szCs w:val="22"/>
                <w:lang w:val="is-IS" w:eastAsia="is-IS"/>
              </w:rPr>
              <w:t>ársloka</w:t>
            </w:r>
            <w:r w:rsidR="00861AF4" w:rsidRPr="00C50CC4">
              <w:rPr>
                <w:rFonts w:ascii="TimesNewRoman,Bold" w:hAnsi="TimesNewRoman,Bold" w:cs="TimesNewRoman,Bold"/>
                <w:bCs/>
                <w:sz w:val="22"/>
                <w:szCs w:val="22"/>
                <w:lang w:val="is-IS" w:eastAsia="is-IS"/>
              </w:rPr>
              <w:softHyphen/>
            </w:r>
            <w:r w:rsidRPr="00C50CC4">
              <w:rPr>
                <w:rFonts w:ascii="TimesNewRoman,Bold" w:hAnsi="TimesNewRoman,Bold" w:cs="TimesNewRoman,Bold"/>
                <w:bCs/>
                <w:sz w:val="22"/>
                <w:szCs w:val="22"/>
                <w:lang w:val="is-IS" w:eastAsia="is-IS"/>
              </w:rPr>
              <w:t>upplýsingar úr efnahagsreikningi.</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11.6.</w:t>
            </w:r>
          </w:p>
        </w:tc>
        <w:tc>
          <w:tcPr>
            <w:tcW w:w="7697" w:type="dxa"/>
            <w:vAlign w:val="center"/>
          </w:tcPr>
          <w:p w:rsidR="00052A6B" w:rsidRPr="00C50CC4" w:rsidRDefault="00861AF4" w:rsidP="00052A6B">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Dómsmál og gerðardómsmál</w:t>
            </w:r>
          </w:p>
          <w:p w:rsidR="00052A6B" w:rsidRPr="00C50CC4" w:rsidRDefault="00052A6B" w:rsidP="00052A6B">
            <w:pPr>
              <w:autoSpaceDE w:val="0"/>
              <w:autoSpaceDN w:val="0"/>
              <w:adjustRightInd w:val="0"/>
              <w:rPr>
                <w:rFonts w:ascii="TimesNewRoman,Bold" w:hAnsi="TimesNewRoman,Bold" w:cs="TimesNewRoman,Bold"/>
                <w:bCs/>
                <w:i/>
                <w:sz w:val="22"/>
                <w:szCs w:val="22"/>
                <w:lang w:val="is-IS" w:eastAsia="is-IS"/>
              </w:rPr>
            </w:pPr>
          </w:p>
          <w:p w:rsidR="00052A6B" w:rsidRPr="00C50CC4" w:rsidRDefault="00861AF4" w:rsidP="00861AF4">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Upplýsingar um stjórnsýslu-, dóms- eða gerðardómsmál (þ.m.t. þau mál sem eru til meðferðar eða yfirvofandi og útgefanda er kunnugt um) a.m.k. síðustu tólf mánaða sem kunna að hafa haft eða hafa að undanförnu haft veruleg áhrif á fjárhagsstöðu eða arðsemi útgefanda og/eða samstæðunnar eða ef slíkt er ekki fyrir hendi skal gefa yfirlýsingu þess efnis.</w:t>
            </w:r>
          </w:p>
        </w:tc>
      </w:tr>
      <w:tr w:rsidR="00861AF4" w:rsidRPr="00C50CC4" w:rsidTr="00C50CC4">
        <w:trPr>
          <w:trHeight w:val="333"/>
        </w:trPr>
        <w:tc>
          <w:tcPr>
            <w:tcW w:w="1101" w:type="dxa"/>
          </w:tcPr>
          <w:p w:rsidR="00861AF4" w:rsidRPr="00C50CC4" w:rsidRDefault="00861AF4" w:rsidP="00A12814">
            <w:pPr>
              <w:rPr>
                <w:sz w:val="22"/>
                <w:szCs w:val="22"/>
                <w:lang w:val="is-IS"/>
              </w:rPr>
            </w:pPr>
          </w:p>
        </w:tc>
        <w:tc>
          <w:tcPr>
            <w:tcW w:w="850" w:type="dxa"/>
          </w:tcPr>
          <w:p w:rsidR="00861AF4" w:rsidRPr="00C50CC4" w:rsidRDefault="00861AF4" w:rsidP="00A12814">
            <w:pPr>
              <w:rPr>
                <w:b/>
                <w:sz w:val="22"/>
                <w:szCs w:val="22"/>
                <w:lang w:val="is-IS"/>
              </w:rPr>
            </w:pPr>
            <w:r w:rsidRPr="00C50CC4">
              <w:rPr>
                <w:b/>
                <w:sz w:val="22"/>
                <w:szCs w:val="22"/>
                <w:lang w:val="is-IS"/>
              </w:rPr>
              <w:t>11.7.</w:t>
            </w:r>
          </w:p>
        </w:tc>
        <w:tc>
          <w:tcPr>
            <w:tcW w:w="7697" w:type="dxa"/>
            <w:vAlign w:val="center"/>
          </w:tcPr>
          <w:p w:rsidR="00861AF4" w:rsidRPr="00C50CC4" w:rsidRDefault="00861AF4" w:rsidP="00861AF4">
            <w:pPr>
              <w:autoSpaceDE w:val="0"/>
              <w:autoSpaceDN w:val="0"/>
              <w:adjustRightInd w:val="0"/>
              <w:rPr>
                <w:rFonts w:ascii="TimesNewRoman,Bold" w:hAnsi="TimesNewRoman,Bold" w:cs="TimesNewRoman,Bold"/>
                <w:bCs/>
                <w:i/>
                <w:sz w:val="22"/>
                <w:szCs w:val="22"/>
                <w:lang w:val="is-IS" w:eastAsia="is-IS"/>
              </w:rPr>
            </w:pPr>
            <w:r w:rsidRPr="00C50CC4">
              <w:rPr>
                <w:rFonts w:ascii="TimesNewRoman,Bold" w:hAnsi="TimesNewRoman,Bold" w:cs="TimesNewRoman,Bold"/>
                <w:bCs/>
                <w:i/>
                <w:sz w:val="22"/>
                <w:szCs w:val="22"/>
                <w:lang w:val="is-IS" w:eastAsia="is-IS"/>
              </w:rPr>
              <w:t>Mikilvægar breytingar á fjárhagsstöðu útgefanda</w:t>
            </w:r>
          </w:p>
          <w:p w:rsidR="00861AF4" w:rsidRPr="00C50CC4" w:rsidRDefault="00861AF4" w:rsidP="00861AF4">
            <w:pPr>
              <w:autoSpaceDE w:val="0"/>
              <w:autoSpaceDN w:val="0"/>
              <w:adjustRightInd w:val="0"/>
              <w:rPr>
                <w:rFonts w:ascii="TimesNewRoman,Bold" w:hAnsi="TimesNewRoman,Bold" w:cs="TimesNewRoman,Bold"/>
                <w:bCs/>
                <w:sz w:val="22"/>
                <w:szCs w:val="22"/>
                <w:lang w:val="is-IS" w:eastAsia="is-IS"/>
              </w:rPr>
            </w:pPr>
          </w:p>
          <w:p w:rsidR="00861AF4" w:rsidRPr="00C50CC4" w:rsidRDefault="00861AF4" w:rsidP="006E6256">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Cs/>
                <w:sz w:val="22"/>
                <w:szCs w:val="22"/>
                <w:lang w:val="is-IS" w:eastAsia="is-IS"/>
              </w:rPr>
              <w:t>Lýsing á hvers kyns mikilvægum breytingum á fjárhags- eða viðskiptastöðu samstæðunnar sem hafa átt sér stað frá lokum síðasta fjárhagstímabils og annaðhvort endurskoðaðar fjárhagsupplýsingar eða fjárhagsupplýsingar</w:t>
            </w:r>
            <w:r w:rsidR="006E6256">
              <w:rPr>
                <w:rFonts w:ascii="TimesNewRoman,Bold" w:hAnsi="TimesNewRoman,Bold" w:cs="TimesNewRoman,Bold"/>
                <w:bCs/>
                <w:sz w:val="22"/>
                <w:szCs w:val="22"/>
                <w:lang w:val="is-IS" w:eastAsia="is-IS"/>
              </w:rPr>
              <w:t xml:space="preserve"> </w:t>
            </w:r>
            <w:r w:rsidRPr="00C50CC4">
              <w:rPr>
                <w:rFonts w:ascii="TimesNewRoman,Bold" w:hAnsi="TimesNewRoman,Bold" w:cs="TimesNewRoman,Bold"/>
                <w:bCs/>
                <w:sz w:val="22"/>
                <w:szCs w:val="22"/>
                <w:lang w:val="is-IS" w:eastAsia="is-IS"/>
              </w:rPr>
              <w:t>árshluta hafa verið birtar um eða yfirlýsing um að slíkar breytingar hafi ekki átt sér stað.</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12.</w:t>
            </w:r>
          </w:p>
        </w:tc>
        <w:tc>
          <w:tcPr>
            <w:tcW w:w="7697" w:type="dxa"/>
            <w:vAlign w:val="center"/>
          </w:tcPr>
          <w:p w:rsidR="00052A6B" w:rsidRPr="00C50CC4" w:rsidRDefault="00052A6B" w:rsidP="00052A6B">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MIKILVÆGIR SAMNINGAR</w:t>
            </w:r>
          </w:p>
          <w:p w:rsidR="00052A6B" w:rsidRPr="00C50CC4" w:rsidRDefault="00052A6B" w:rsidP="00052A6B">
            <w:pPr>
              <w:autoSpaceDE w:val="0"/>
              <w:autoSpaceDN w:val="0"/>
              <w:adjustRightInd w:val="0"/>
              <w:rPr>
                <w:rFonts w:ascii="TimesNewRoman,Bold" w:hAnsi="TimesNewRoman,Bold" w:cs="TimesNewRoman,Bold"/>
                <w:b/>
                <w:bCs/>
                <w:sz w:val="22"/>
                <w:szCs w:val="22"/>
                <w:lang w:val="is-IS" w:eastAsia="is-IS"/>
              </w:rPr>
            </w:pPr>
          </w:p>
          <w:p w:rsidR="00052A6B" w:rsidRPr="00C50CC4" w:rsidRDefault="003B6EE4" w:rsidP="003B6EE4">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Stutt samantekt á öllum mikilvægum samningum sem hafa ekki verið gerðir í hefðbundinni starfsemi útgefanda þar sem hver aðili að samstæðunni hefur skyldum að gegna eða hefur tiltekin réttindi sem skipta máli fyrir möguleika útgefandans á að uppfylla skuldbindingar sínar gagnvart verðbréfaeigendum að því er varðar verðbréfin sem verið er að gefa út.</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13.</w:t>
            </w:r>
          </w:p>
        </w:tc>
        <w:tc>
          <w:tcPr>
            <w:tcW w:w="7697" w:type="dxa"/>
            <w:vAlign w:val="center"/>
          </w:tcPr>
          <w:p w:rsidR="00052A6B" w:rsidRPr="00C50CC4" w:rsidRDefault="003B6EE4" w:rsidP="00052A6B">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UPPLÝSINGAR FRÁ ÞRIÐJA AÐILA, SÉRFRÆÐIÁLIT OG HAGSMUNAYFIRLÝSINGAR</w:t>
            </w:r>
          </w:p>
        </w:tc>
      </w:tr>
      <w:tr w:rsidR="00052A6B" w:rsidRPr="00C50CC4" w:rsidTr="00C50CC4">
        <w:trPr>
          <w:trHeight w:val="333"/>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13.1.</w:t>
            </w:r>
          </w:p>
        </w:tc>
        <w:tc>
          <w:tcPr>
            <w:tcW w:w="7697" w:type="dxa"/>
            <w:vAlign w:val="center"/>
          </w:tcPr>
          <w:p w:rsidR="00052A6B" w:rsidRPr="00C50CC4" w:rsidRDefault="003B6EE4" w:rsidP="003B6EE4">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útgefandalýsing hefur að geyma greinargerð eða skýrslu frá sérfræðingi skal tilgreina nafn þessa einstaklings, heimilisfang vinnustaðar, menntun hans, hæfi og hvort hann hafi verulegra hagsmuna að gæta gagnvart útgefandanum. Ef skýrslan er samin að beiðni útgefanda skal gefa yfirlýsingu um að slík yfirlýsing eða skýrsla fylgi, á hvaða formi og í hvaða samhengi hún er ásamt samþykki þess einstaklings sem hefur heimilað efni þessa hluta útgefandalýsingarinnar.</w:t>
            </w:r>
          </w:p>
        </w:tc>
      </w:tr>
      <w:tr w:rsidR="00052A6B" w:rsidRPr="00C50CC4" w:rsidTr="00C50CC4">
        <w:trPr>
          <w:trHeight w:val="28"/>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13.2.</w:t>
            </w:r>
          </w:p>
        </w:tc>
        <w:tc>
          <w:tcPr>
            <w:tcW w:w="7697" w:type="dxa"/>
            <w:vAlign w:val="center"/>
          </w:tcPr>
          <w:p w:rsidR="00052A6B" w:rsidRPr="00C50CC4" w:rsidRDefault="003B6EE4" w:rsidP="003B6EE4">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Ef upplýsingar eru fengnar frá þriðja aðila skal útgefandi, að svo miklu leyti sem honum er kunnugt um og honum er unnt, út frá þeim upplýsingum sem þriðji aðilinn hefur birt, láta í té staðfestingu þess efnis að upplýsingarnar séu réttar og að engum staðreyndum sé sleppt sem geri upplýsingarnar ónákvæmar eða misvísandi. Þar að auki skal útgefandi tilgreina uppruna upplýsinganna.</w:t>
            </w:r>
          </w:p>
        </w:tc>
      </w:tr>
      <w:tr w:rsidR="00052A6B" w:rsidRPr="00C50CC4" w:rsidTr="006E6256">
        <w:trPr>
          <w:trHeight w:val="2905"/>
        </w:trPr>
        <w:tc>
          <w:tcPr>
            <w:tcW w:w="1101" w:type="dxa"/>
          </w:tcPr>
          <w:p w:rsidR="00052A6B" w:rsidRPr="00C50CC4" w:rsidRDefault="00052A6B" w:rsidP="00A12814">
            <w:pPr>
              <w:rPr>
                <w:sz w:val="22"/>
                <w:szCs w:val="22"/>
                <w:lang w:val="is-IS"/>
              </w:rPr>
            </w:pPr>
          </w:p>
        </w:tc>
        <w:tc>
          <w:tcPr>
            <w:tcW w:w="850" w:type="dxa"/>
          </w:tcPr>
          <w:p w:rsidR="00052A6B" w:rsidRPr="00C50CC4" w:rsidRDefault="00052A6B" w:rsidP="00A12814">
            <w:pPr>
              <w:rPr>
                <w:b/>
                <w:sz w:val="22"/>
                <w:szCs w:val="22"/>
                <w:lang w:val="is-IS"/>
              </w:rPr>
            </w:pPr>
            <w:r w:rsidRPr="00C50CC4">
              <w:rPr>
                <w:b/>
                <w:sz w:val="22"/>
                <w:szCs w:val="22"/>
                <w:lang w:val="is-IS"/>
              </w:rPr>
              <w:t>14.</w:t>
            </w:r>
          </w:p>
        </w:tc>
        <w:tc>
          <w:tcPr>
            <w:tcW w:w="7697" w:type="dxa"/>
            <w:vAlign w:val="center"/>
          </w:tcPr>
          <w:p w:rsidR="00052A6B" w:rsidRPr="00C50CC4" w:rsidRDefault="00052A6B" w:rsidP="00052A6B">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
                <w:bCs/>
                <w:sz w:val="22"/>
                <w:szCs w:val="22"/>
                <w:lang w:val="is-IS" w:eastAsia="is-IS"/>
              </w:rPr>
              <w:t>SKJÖL TIL SÝNIS</w:t>
            </w:r>
          </w:p>
          <w:p w:rsidR="00052A6B" w:rsidRPr="00C50CC4" w:rsidRDefault="00052A6B" w:rsidP="00052A6B">
            <w:pPr>
              <w:autoSpaceDE w:val="0"/>
              <w:autoSpaceDN w:val="0"/>
              <w:adjustRightInd w:val="0"/>
              <w:rPr>
                <w:rFonts w:ascii="TimesNewRoman,Bold" w:hAnsi="TimesNewRoman,Bold" w:cs="TimesNewRoman,Bold"/>
                <w:b/>
                <w:bCs/>
                <w:sz w:val="22"/>
                <w:szCs w:val="22"/>
                <w:lang w:val="is-IS" w:eastAsia="is-IS"/>
              </w:rPr>
            </w:pPr>
          </w:p>
          <w:p w:rsidR="00052A6B" w:rsidRDefault="00052A6B" w:rsidP="00052A6B">
            <w:p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Yfirlýsing þess efnis að á meðan útgefandalýsing er í gildi er heimilt, eftir atvikum, að skoða eftirfarandi skjöl (eða afrit þeirra):</w:t>
            </w:r>
          </w:p>
          <w:p w:rsidR="00C50CC4" w:rsidRPr="00C50CC4" w:rsidRDefault="00C50CC4" w:rsidP="00052A6B">
            <w:pPr>
              <w:autoSpaceDE w:val="0"/>
              <w:autoSpaceDN w:val="0"/>
              <w:adjustRightInd w:val="0"/>
              <w:rPr>
                <w:rFonts w:ascii="TimesNewRoman,Bold" w:hAnsi="TimesNewRoman,Bold" w:cs="TimesNewRoman,Bold"/>
                <w:bCs/>
                <w:sz w:val="22"/>
                <w:szCs w:val="22"/>
                <w:lang w:val="is-IS" w:eastAsia="is-IS"/>
              </w:rPr>
            </w:pPr>
          </w:p>
          <w:p w:rsidR="00052A6B" w:rsidRDefault="00052A6B" w:rsidP="00052A6B">
            <w:pPr>
              <w:pStyle w:val="ListParagraph"/>
              <w:numPr>
                <w:ilvl w:val="0"/>
                <w:numId w:val="31"/>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Stofnsamningur og samþykktir útgefanda,</w:t>
            </w:r>
          </w:p>
          <w:p w:rsidR="00C50CC4" w:rsidRDefault="00C50CC4" w:rsidP="00C50CC4">
            <w:pPr>
              <w:pStyle w:val="ListParagraph"/>
              <w:autoSpaceDE w:val="0"/>
              <w:autoSpaceDN w:val="0"/>
              <w:adjustRightInd w:val="0"/>
              <w:rPr>
                <w:rFonts w:ascii="TimesNewRoman,Bold" w:hAnsi="TimesNewRoman,Bold" w:cs="TimesNewRoman,Bold"/>
                <w:bCs/>
                <w:sz w:val="22"/>
                <w:szCs w:val="22"/>
                <w:lang w:val="is-IS" w:eastAsia="is-IS"/>
              </w:rPr>
            </w:pPr>
          </w:p>
          <w:p w:rsidR="00052A6B" w:rsidRDefault="00052A6B" w:rsidP="00052A6B">
            <w:pPr>
              <w:pStyle w:val="ListParagraph"/>
              <w:numPr>
                <w:ilvl w:val="0"/>
                <w:numId w:val="31"/>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allar skýrslur, bréf og önnur skjöl, sögulegar fjárhagsupplýsingar, mats- og greinargerðir samdar af sérfræðingum að beiðni útgefanda sem að öllu leyti eða að hluta til eru felldar inn í eða vísað til í útgefandalýsingu,</w:t>
            </w:r>
          </w:p>
          <w:p w:rsidR="00C50CC4" w:rsidRPr="00C50CC4" w:rsidRDefault="00C50CC4" w:rsidP="00C50CC4">
            <w:pPr>
              <w:pStyle w:val="ListParagraph"/>
              <w:rPr>
                <w:rFonts w:ascii="TimesNewRoman,Bold" w:hAnsi="TimesNewRoman,Bold" w:cs="TimesNewRoman,Bold"/>
                <w:bCs/>
                <w:sz w:val="22"/>
                <w:szCs w:val="22"/>
                <w:lang w:val="is-IS" w:eastAsia="is-IS"/>
              </w:rPr>
            </w:pPr>
          </w:p>
          <w:p w:rsidR="00052A6B" w:rsidRPr="00C50CC4" w:rsidRDefault="00052A6B" w:rsidP="00052A6B">
            <w:pPr>
              <w:pStyle w:val="ListParagraph"/>
              <w:numPr>
                <w:ilvl w:val="0"/>
                <w:numId w:val="31"/>
              </w:numPr>
              <w:autoSpaceDE w:val="0"/>
              <w:autoSpaceDN w:val="0"/>
              <w:adjustRightInd w:val="0"/>
              <w:rPr>
                <w:rFonts w:ascii="TimesNewRoman,Bold" w:hAnsi="TimesNewRoman,Bold" w:cs="TimesNewRoman,Bold"/>
                <w:bCs/>
                <w:sz w:val="22"/>
                <w:szCs w:val="22"/>
                <w:lang w:val="is-IS" w:eastAsia="is-IS"/>
              </w:rPr>
            </w:pPr>
            <w:r w:rsidRPr="00C50CC4">
              <w:rPr>
                <w:rFonts w:ascii="TimesNewRoman,Bold" w:hAnsi="TimesNewRoman,Bold" w:cs="TimesNewRoman,Bold"/>
                <w:bCs/>
                <w:sz w:val="22"/>
                <w:szCs w:val="22"/>
                <w:lang w:val="is-IS" w:eastAsia="is-IS"/>
              </w:rPr>
              <w:t>sögulegar fjárhagsupplýsingar útgefanda eða, ef um er að ræða samstæðu, sögulegar fjárhagsupplýsingar útgefanda og dótturfyrirtækja hans fyrir hvort hinna tveggja síðustu fjárhagsára um sig áður en útgefandalýsing er birt.</w:t>
            </w:r>
          </w:p>
          <w:p w:rsidR="00052A6B" w:rsidRPr="00C50CC4" w:rsidRDefault="00052A6B" w:rsidP="00052A6B">
            <w:pPr>
              <w:autoSpaceDE w:val="0"/>
              <w:autoSpaceDN w:val="0"/>
              <w:adjustRightInd w:val="0"/>
              <w:rPr>
                <w:rFonts w:ascii="TimesNewRoman,Bold" w:hAnsi="TimesNewRoman,Bold" w:cs="TimesNewRoman,Bold"/>
                <w:bCs/>
                <w:sz w:val="22"/>
                <w:szCs w:val="22"/>
                <w:lang w:val="is-IS" w:eastAsia="is-IS"/>
              </w:rPr>
            </w:pPr>
          </w:p>
          <w:p w:rsidR="00052A6B" w:rsidRPr="00C50CC4" w:rsidRDefault="00052A6B" w:rsidP="003B6EE4">
            <w:pPr>
              <w:autoSpaceDE w:val="0"/>
              <w:autoSpaceDN w:val="0"/>
              <w:adjustRightInd w:val="0"/>
              <w:rPr>
                <w:rFonts w:ascii="TimesNewRoman,Bold" w:hAnsi="TimesNewRoman,Bold" w:cs="TimesNewRoman,Bold"/>
                <w:b/>
                <w:bCs/>
                <w:sz w:val="22"/>
                <w:szCs w:val="22"/>
                <w:lang w:val="is-IS" w:eastAsia="is-IS"/>
              </w:rPr>
            </w:pPr>
            <w:r w:rsidRPr="00C50CC4">
              <w:rPr>
                <w:rFonts w:ascii="TimesNewRoman,Bold" w:hAnsi="TimesNewRoman,Bold" w:cs="TimesNewRoman,Bold"/>
                <w:bCs/>
                <w:sz w:val="22"/>
                <w:szCs w:val="22"/>
                <w:lang w:val="is-IS" w:eastAsia="is-IS"/>
              </w:rPr>
              <w:t>Veita skal upplýsingar um hvar unnt sé að skoða skjölin, sem eru til sýnis, á pappírsformi eða á rafrænu formi.</w:t>
            </w:r>
            <w:r w:rsidR="003B6EE4" w:rsidRPr="00C50CC4">
              <w:rPr>
                <w:sz w:val="22"/>
                <w:szCs w:val="22"/>
              </w:rPr>
              <w:t xml:space="preserve"> </w:t>
            </w:r>
          </w:p>
        </w:tc>
      </w:tr>
    </w:tbl>
    <w:p w:rsidR="001C48A2" w:rsidRPr="00A12814" w:rsidRDefault="001C48A2" w:rsidP="00A12814">
      <w:pPr>
        <w:ind w:left="-180" w:firstLine="180"/>
        <w:rPr>
          <w:lang w:val="is-IS"/>
        </w:rPr>
      </w:pPr>
      <w:bookmarkStart w:id="0" w:name="_GoBack"/>
      <w:bookmarkEnd w:id="0"/>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63" w:rsidRDefault="005D6763">
      <w:r>
        <w:separator/>
      </w:r>
    </w:p>
  </w:endnote>
  <w:endnote w:type="continuationSeparator" w:id="0">
    <w:p w:rsidR="005D6763" w:rsidRDefault="005D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63" w:rsidRDefault="005D6763" w:rsidP="007B7AF3">
    <w:pPr>
      <w:pStyle w:val="Footer"/>
      <w:jc w:val="center"/>
      <w:rPr>
        <w:sz w:val="20"/>
        <w:szCs w:val="20"/>
      </w:rPr>
    </w:pPr>
  </w:p>
  <w:p w:rsidR="005D6763" w:rsidRPr="007B7AF3" w:rsidRDefault="005D6763"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6E6256">
      <w:rPr>
        <w:noProof/>
        <w:sz w:val="20"/>
        <w:szCs w:val="20"/>
      </w:rPr>
      <w:t>6</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63" w:rsidRDefault="005D6763"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63" w:rsidRDefault="005D6763">
      <w:r>
        <w:separator/>
      </w:r>
    </w:p>
  </w:footnote>
  <w:footnote w:type="continuationSeparator" w:id="0">
    <w:p w:rsidR="005D6763" w:rsidRDefault="005D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63" w:rsidRPr="007A3D9E" w:rsidRDefault="005D6763"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6AB483AD" wp14:editId="2A2C779D">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Pr>
        <w:sz w:val="16"/>
        <w:szCs w:val="16"/>
        <w:lang w:val="is-IS"/>
      </w:rPr>
      <w:tab/>
    </w:r>
    <w:r>
      <w:rPr>
        <w:sz w:val="16"/>
        <w:szCs w:val="16"/>
        <w:lang w:val="is-IS"/>
      </w:rPr>
      <w:tab/>
      <w:t>XI</w:t>
    </w:r>
    <w:r w:rsidRPr="007A3D9E">
      <w:rPr>
        <w:sz w:val="16"/>
        <w:szCs w:val="16"/>
        <w:lang w:val="is-IS"/>
      </w:rPr>
      <w:t>. Viðauki</w:t>
    </w:r>
  </w:p>
  <w:p w:rsidR="005D6763" w:rsidRPr="007A3D9E" w:rsidRDefault="005D6763" w:rsidP="00C00631">
    <w:pPr>
      <w:pStyle w:val="Header"/>
      <w:rPr>
        <w:sz w:val="16"/>
        <w:szCs w:val="16"/>
        <w:lang w:val="is-IS"/>
      </w:rPr>
    </w:pPr>
    <w:r>
      <w:rPr>
        <w:sz w:val="16"/>
        <w:szCs w:val="16"/>
        <w:lang w:val="is-IS"/>
      </w:rPr>
      <w:t>Útgefandalýsing</w:t>
    </w:r>
    <w:r w:rsidRPr="007A3D9E">
      <w:rPr>
        <w:sz w:val="16"/>
        <w:szCs w:val="16"/>
        <w:lang w:val="is-IS"/>
      </w:rPr>
      <w:t>, X. drög</w:t>
    </w:r>
  </w:p>
  <w:p w:rsidR="005D6763" w:rsidRPr="007A3D9E" w:rsidRDefault="005D6763"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63" w:rsidRPr="002B0E36" w:rsidRDefault="005D6763"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2D"/>
    <w:multiLevelType w:val="hybridMultilevel"/>
    <w:tmpl w:val="9674845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22D257E"/>
    <w:multiLevelType w:val="hybridMultilevel"/>
    <w:tmpl w:val="20269A0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5F37B89"/>
    <w:multiLevelType w:val="hybridMultilevel"/>
    <w:tmpl w:val="13BA029C"/>
    <w:lvl w:ilvl="0" w:tplc="81983AD6">
      <w:start w:val="1"/>
      <w:numFmt w:val="lowerLetter"/>
      <w:lvlText w:val="%1)"/>
      <w:lvlJc w:val="left"/>
      <w:pPr>
        <w:ind w:left="72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07BD150C"/>
    <w:multiLevelType w:val="hybridMultilevel"/>
    <w:tmpl w:val="C2A8283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0B0A1F1F"/>
    <w:multiLevelType w:val="hybridMultilevel"/>
    <w:tmpl w:val="370AE03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0C793A48"/>
    <w:multiLevelType w:val="hybridMultilevel"/>
    <w:tmpl w:val="396AF5B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122A7F5F"/>
    <w:multiLevelType w:val="hybridMultilevel"/>
    <w:tmpl w:val="6D70CEE6"/>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1C8379A4"/>
    <w:multiLevelType w:val="hybridMultilevel"/>
    <w:tmpl w:val="3A92846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21B673E6"/>
    <w:multiLevelType w:val="hybridMultilevel"/>
    <w:tmpl w:val="AE50BAC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258805C2"/>
    <w:multiLevelType w:val="hybridMultilevel"/>
    <w:tmpl w:val="85EC32E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28325224"/>
    <w:multiLevelType w:val="hybridMultilevel"/>
    <w:tmpl w:val="F7C28C5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2D357E1E"/>
    <w:multiLevelType w:val="hybridMultilevel"/>
    <w:tmpl w:val="6D94699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2F45226B"/>
    <w:multiLevelType w:val="hybridMultilevel"/>
    <w:tmpl w:val="4086B14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0DF04DE"/>
    <w:multiLevelType w:val="hybridMultilevel"/>
    <w:tmpl w:val="EB20CF5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386D625F"/>
    <w:multiLevelType w:val="hybridMultilevel"/>
    <w:tmpl w:val="26CA928E"/>
    <w:lvl w:ilvl="0" w:tplc="14CAD6F6">
      <w:start w:val="3"/>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3931492D"/>
    <w:multiLevelType w:val="hybridMultilevel"/>
    <w:tmpl w:val="22B4C170"/>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40F66FB9"/>
    <w:multiLevelType w:val="hybridMultilevel"/>
    <w:tmpl w:val="B316C31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42974C64"/>
    <w:multiLevelType w:val="hybridMultilevel"/>
    <w:tmpl w:val="DBCCA5E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4A3C3053"/>
    <w:multiLevelType w:val="hybridMultilevel"/>
    <w:tmpl w:val="201412B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4B176392"/>
    <w:multiLevelType w:val="hybridMultilevel"/>
    <w:tmpl w:val="62049D5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4BD7430F"/>
    <w:multiLevelType w:val="hybridMultilevel"/>
    <w:tmpl w:val="A69649E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51475E4B"/>
    <w:multiLevelType w:val="hybridMultilevel"/>
    <w:tmpl w:val="425894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51F737AE"/>
    <w:multiLevelType w:val="hybridMultilevel"/>
    <w:tmpl w:val="76CE3BE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59641FDD"/>
    <w:multiLevelType w:val="hybridMultilevel"/>
    <w:tmpl w:val="B444080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59E2698C"/>
    <w:multiLevelType w:val="hybridMultilevel"/>
    <w:tmpl w:val="D64CA74A"/>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nsid w:val="5BC143EC"/>
    <w:multiLevelType w:val="hybridMultilevel"/>
    <w:tmpl w:val="1008878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nsid w:val="5D97365F"/>
    <w:multiLevelType w:val="hybridMultilevel"/>
    <w:tmpl w:val="269EF44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6A8D7A42"/>
    <w:multiLevelType w:val="hybridMultilevel"/>
    <w:tmpl w:val="1FE4E8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6B0B57FD"/>
    <w:multiLevelType w:val="hybridMultilevel"/>
    <w:tmpl w:val="2C3EB76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6BB833AC"/>
    <w:multiLevelType w:val="hybridMultilevel"/>
    <w:tmpl w:val="A858D90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6C9F6900"/>
    <w:multiLevelType w:val="hybridMultilevel"/>
    <w:tmpl w:val="9E20C5E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nsid w:val="6DB87298"/>
    <w:multiLevelType w:val="hybridMultilevel"/>
    <w:tmpl w:val="29145F9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75DB23F8"/>
    <w:multiLevelType w:val="hybridMultilevel"/>
    <w:tmpl w:val="1CBCD8A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nsid w:val="79272332"/>
    <w:multiLevelType w:val="hybridMultilevel"/>
    <w:tmpl w:val="A40E25C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nsid w:val="7AB53704"/>
    <w:multiLevelType w:val="hybridMultilevel"/>
    <w:tmpl w:val="2F52B3A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nsid w:val="7CF7714E"/>
    <w:multiLevelType w:val="hybridMultilevel"/>
    <w:tmpl w:val="2F7E65D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31"/>
  </w:num>
  <w:num w:numId="3">
    <w:abstractNumId w:val="9"/>
  </w:num>
  <w:num w:numId="4">
    <w:abstractNumId w:val="5"/>
  </w:num>
  <w:num w:numId="5">
    <w:abstractNumId w:val="23"/>
  </w:num>
  <w:num w:numId="6">
    <w:abstractNumId w:val="6"/>
  </w:num>
  <w:num w:numId="7">
    <w:abstractNumId w:val="14"/>
  </w:num>
  <w:num w:numId="8">
    <w:abstractNumId w:val="15"/>
  </w:num>
  <w:num w:numId="9">
    <w:abstractNumId w:val="24"/>
  </w:num>
  <w:num w:numId="10">
    <w:abstractNumId w:val="2"/>
  </w:num>
  <w:num w:numId="11">
    <w:abstractNumId w:val="3"/>
  </w:num>
  <w:num w:numId="12">
    <w:abstractNumId w:val="13"/>
  </w:num>
  <w:num w:numId="13">
    <w:abstractNumId w:val="33"/>
  </w:num>
  <w:num w:numId="14">
    <w:abstractNumId w:val="32"/>
  </w:num>
  <w:num w:numId="15">
    <w:abstractNumId w:val="30"/>
  </w:num>
  <w:num w:numId="16">
    <w:abstractNumId w:val="10"/>
  </w:num>
  <w:num w:numId="17">
    <w:abstractNumId w:val="22"/>
  </w:num>
  <w:num w:numId="18">
    <w:abstractNumId w:val="20"/>
  </w:num>
  <w:num w:numId="19">
    <w:abstractNumId w:val="28"/>
  </w:num>
  <w:num w:numId="20">
    <w:abstractNumId w:val="19"/>
  </w:num>
  <w:num w:numId="21">
    <w:abstractNumId w:val="11"/>
  </w:num>
  <w:num w:numId="22">
    <w:abstractNumId w:val="26"/>
  </w:num>
  <w:num w:numId="23">
    <w:abstractNumId w:val="1"/>
  </w:num>
  <w:num w:numId="24">
    <w:abstractNumId w:val="18"/>
  </w:num>
  <w:num w:numId="25">
    <w:abstractNumId w:val="29"/>
  </w:num>
  <w:num w:numId="26">
    <w:abstractNumId w:val="21"/>
  </w:num>
  <w:num w:numId="27">
    <w:abstractNumId w:val="4"/>
  </w:num>
  <w:num w:numId="28">
    <w:abstractNumId w:val="17"/>
  </w:num>
  <w:num w:numId="29">
    <w:abstractNumId w:val="8"/>
  </w:num>
  <w:num w:numId="30">
    <w:abstractNumId w:val="12"/>
  </w:num>
  <w:num w:numId="31">
    <w:abstractNumId w:val="0"/>
  </w:num>
  <w:num w:numId="32">
    <w:abstractNumId w:val="25"/>
  </w:num>
  <w:num w:numId="33">
    <w:abstractNumId w:val="35"/>
  </w:num>
  <w:num w:numId="34">
    <w:abstractNumId w:val="16"/>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07C93"/>
    <w:rsid w:val="00036D2A"/>
    <w:rsid w:val="00052A6B"/>
    <w:rsid w:val="000A34D8"/>
    <w:rsid w:val="000F7090"/>
    <w:rsid w:val="00111131"/>
    <w:rsid w:val="001137B0"/>
    <w:rsid w:val="00120422"/>
    <w:rsid w:val="00126874"/>
    <w:rsid w:val="001349AB"/>
    <w:rsid w:val="00161EA2"/>
    <w:rsid w:val="001A10A9"/>
    <w:rsid w:val="001A17F0"/>
    <w:rsid w:val="001C48A2"/>
    <w:rsid w:val="001D2568"/>
    <w:rsid w:val="00221654"/>
    <w:rsid w:val="00227162"/>
    <w:rsid w:val="00230210"/>
    <w:rsid w:val="00245485"/>
    <w:rsid w:val="002735BC"/>
    <w:rsid w:val="00292001"/>
    <w:rsid w:val="002B0E36"/>
    <w:rsid w:val="003175D5"/>
    <w:rsid w:val="00322D04"/>
    <w:rsid w:val="0032318D"/>
    <w:rsid w:val="00334FE6"/>
    <w:rsid w:val="003665B6"/>
    <w:rsid w:val="003B6EE4"/>
    <w:rsid w:val="00435716"/>
    <w:rsid w:val="004562C7"/>
    <w:rsid w:val="0048355D"/>
    <w:rsid w:val="00486EEB"/>
    <w:rsid w:val="005058E7"/>
    <w:rsid w:val="00562EE2"/>
    <w:rsid w:val="0057427A"/>
    <w:rsid w:val="00590EEB"/>
    <w:rsid w:val="005D1D79"/>
    <w:rsid w:val="005D6763"/>
    <w:rsid w:val="00612D48"/>
    <w:rsid w:val="00620CA6"/>
    <w:rsid w:val="00626012"/>
    <w:rsid w:val="006C38A4"/>
    <w:rsid w:val="006D30AF"/>
    <w:rsid w:val="006E6256"/>
    <w:rsid w:val="006F1AA6"/>
    <w:rsid w:val="00760B9F"/>
    <w:rsid w:val="007952D1"/>
    <w:rsid w:val="007A1364"/>
    <w:rsid w:val="007A3D9E"/>
    <w:rsid w:val="007A643C"/>
    <w:rsid w:val="007A7FC7"/>
    <w:rsid w:val="007B7AF3"/>
    <w:rsid w:val="00815DA0"/>
    <w:rsid w:val="00832D16"/>
    <w:rsid w:val="0084135F"/>
    <w:rsid w:val="00841558"/>
    <w:rsid w:val="008548E5"/>
    <w:rsid w:val="00861AF4"/>
    <w:rsid w:val="00862F31"/>
    <w:rsid w:val="008844A6"/>
    <w:rsid w:val="008969AD"/>
    <w:rsid w:val="008A207A"/>
    <w:rsid w:val="008A365F"/>
    <w:rsid w:val="008F5D1B"/>
    <w:rsid w:val="009057BA"/>
    <w:rsid w:val="009247E4"/>
    <w:rsid w:val="00925C31"/>
    <w:rsid w:val="009429D3"/>
    <w:rsid w:val="00956A8D"/>
    <w:rsid w:val="0096495E"/>
    <w:rsid w:val="009A4A8B"/>
    <w:rsid w:val="009C0ABD"/>
    <w:rsid w:val="009D3138"/>
    <w:rsid w:val="009F3FB6"/>
    <w:rsid w:val="00A12814"/>
    <w:rsid w:val="00A21FFA"/>
    <w:rsid w:val="00A27F98"/>
    <w:rsid w:val="00A50B13"/>
    <w:rsid w:val="00A61C67"/>
    <w:rsid w:val="00A8391C"/>
    <w:rsid w:val="00A91952"/>
    <w:rsid w:val="00B5708E"/>
    <w:rsid w:val="00B73895"/>
    <w:rsid w:val="00BA3CA0"/>
    <w:rsid w:val="00BD75B7"/>
    <w:rsid w:val="00C00631"/>
    <w:rsid w:val="00C03E98"/>
    <w:rsid w:val="00C11235"/>
    <w:rsid w:val="00C25898"/>
    <w:rsid w:val="00C26FB8"/>
    <w:rsid w:val="00C50CC4"/>
    <w:rsid w:val="00C83FBB"/>
    <w:rsid w:val="00C906FD"/>
    <w:rsid w:val="00C91AE9"/>
    <w:rsid w:val="00C97109"/>
    <w:rsid w:val="00CC2770"/>
    <w:rsid w:val="00D152D6"/>
    <w:rsid w:val="00D23CF1"/>
    <w:rsid w:val="00DA6307"/>
    <w:rsid w:val="00DD7BCE"/>
    <w:rsid w:val="00E2426E"/>
    <w:rsid w:val="00E36869"/>
    <w:rsid w:val="00E45794"/>
    <w:rsid w:val="00E501B1"/>
    <w:rsid w:val="00E640FD"/>
    <w:rsid w:val="00E80D4B"/>
    <w:rsid w:val="00F207F2"/>
    <w:rsid w:val="00F2171A"/>
    <w:rsid w:val="00F31A29"/>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BBD4-D897-49C6-9B5D-69BF2BDD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1992</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revision>8</cp:revision>
  <cp:lastPrinted>2011-12-16T14:59:00Z</cp:lastPrinted>
  <dcterms:created xsi:type="dcterms:W3CDTF">2011-12-21T15:27:00Z</dcterms:created>
  <dcterms:modified xsi:type="dcterms:W3CDTF">2012-01-04T11:10:00Z</dcterms:modified>
</cp:coreProperties>
</file>