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6" w:rsidRPr="004E095C" w:rsidRDefault="002B0E36" w:rsidP="00A12814">
      <w:pPr>
        <w:rPr>
          <w:b/>
          <w:sz w:val="22"/>
          <w:szCs w:val="22"/>
          <w:lang w:val="is-IS"/>
        </w:rPr>
      </w:pPr>
    </w:p>
    <w:p w:rsidR="00A12814" w:rsidRPr="004E095C" w:rsidRDefault="008F5D1B" w:rsidP="00A12814">
      <w:pPr>
        <w:rPr>
          <w:b/>
          <w:sz w:val="22"/>
          <w:szCs w:val="22"/>
          <w:lang w:val="is-IS" w:eastAsia="en-US"/>
        </w:rPr>
      </w:pPr>
      <w:r w:rsidRPr="004E095C">
        <w:rPr>
          <w:b/>
          <w:sz w:val="22"/>
          <w:szCs w:val="22"/>
          <w:lang w:val="is-IS"/>
        </w:rPr>
        <w:t>V</w:t>
      </w:r>
      <w:r w:rsidR="00007C93" w:rsidRPr="004E095C">
        <w:rPr>
          <w:b/>
          <w:sz w:val="22"/>
          <w:szCs w:val="22"/>
          <w:lang w:val="is-IS"/>
        </w:rPr>
        <w:t>I</w:t>
      </w:r>
      <w:r w:rsidR="00A27F98" w:rsidRPr="004E095C">
        <w:rPr>
          <w:b/>
          <w:sz w:val="22"/>
          <w:szCs w:val="22"/>
          <w:lang w:val="is-IS"/>
        </w:rPr>
        <w:t>I</w:t>
      </w:r>
      <w:r w:rsidR="009A4A8B" w:rsidRPr="004E095C">
        <w:rPr>
          <w:b/>
          <w:sz w:val="22"/>
          <w:szCs w:val="22"/>
          <w:lang w:val="is-IS"/>
        </w:rPr>
        <w:t>I</w:t>
      </w:r>
      <w:r w:rsidR="00A12814" w:rsidRPr="004E095C">
        <w:rPr>
          <w:b/>
          <w:sz w:val="22"/>
          <w:szCs w:val="22"/>
          <w:lang w:val="is-IS"/>
        </w:rPr>
        <w:t>. VIÐAUKI – REGLUGERÐ FRAMKVÆMDASTJÓRNARINNAR (EB) nr. 809/2004 frá 29. apríl 2004</w:t>
      </w:r>
    </w:p>
    <w:p w:rsidR="00A12814" w:rsidRPr="004E095C" w:rsidRDefault="00A12814" w:rsidP="00A12814">
      <w:pPr>
        <w:ind w:left="720"/>
        <w:rPr>
          <w:b/>
          <w:color w:val="000000"/>
          <w:sz w:val="22"/>
          <w:szCs w:val="22"/>
          <w:lang w:val="is-IS" w:eastAsia="is-IS"/>
        </w:rPr>
      </w:pPr>
    </w:p>
    <w:p w:rsidR="00A12814" w:rsidRPr="004E095C" w:rsidRDefault="00A12814" w:rsidP="00A12814">
      <w:pPr>
        <w:rPr>
          <w:b/>
          <w:color w:val="000000"/>
          <w:sz w:val="22"/>
          <w:szCs w:val="22"/>
          <w:lang w:val="is-IS" w:eastAsia="is-IS"/>
        </w:rPr>
      </w:pPr>
      <w:r w:rsidRPr="004E095C">
        <w:rPr>
          <w:b/>
          <w:color w:val="000000"/>
          <w:sz w:val="22"/>
          <w:szCs w:val="22"/>
          <w:lang w:val="is-IS" w:eastAsia="is-IS"/>
        </w:rPr>
        <w:t xml:space="preserve">Sbr. tilgreint í 2. mgr. </w:t>
      </w:r>
      <w:proofErr w:type="spellStart"/>
      <w:r w:rsidRPr="004E095C">
        <w:rPr>
          <w:b/>
          <w:color w:val="000000"/>
          <w:sz w:val="22"/>
          <w:szCs w:val="22"/>
          <w:lang w:val="is-IS" w:eastAsia="is-IS"/>
        </w:rPr>
        <w:t>regl</w:t>
      </w:r>
      <w:proofErr w:type="spellEnd"/>
      <w:r w:rsidRPr="004E095C">
        <w:rPr>
          <w:b/>
          <w:color w:val="000000"/>
          <w:sz w:val="22"/>
          <w:szCs w:val="22"/>
          <w:lang w:val="is-IS" w:eastAsia="is-IS"/>
        </w:rPr>
        <w:t>. nr. 243/2006:</w:t>
      </w:r>
    </w:p>
    <w:p w:rsidR="00A12814" w:rsidRPr="004E095C" w:rsidRDefault="00A12814" w:rsidP="00A12814">
      <w:pPr>
        <w:rPr>
          <w:b/>
          <w:i/>
          <w:color w:val="000000"/>
          <w:sz w:val="22"/>
          <w:szCs w:val="22"/>
          <w:lang w:val="is-IS" w:eastAsia="is-IS"/>
        </w:rPr>
      </w:pPr>
      <w:r w:rsidRPr="004E095C">
        <w:rPr>
          <w:b/>
          <w:i/>
          <w:color w:val="000000"/>
          <w:sz w:val="22"/>
          <w:szCs w:val="22"/>
          <w:lang w:val="is-IS" w:eastAsia="is-IS"/>
        </w:rPr>
        <w:t>Ef ósamræmi er á milli íslensks og ensks texta reglugerðar framkvæmdastjórnarinnar nr. 809/2004 skal skýra íslenska textann með hliðsjón af enska textanum.</w:t>
      </w:r>
    </w:p>
    <w:p w:rsidR="00A12814" w:rsidRPr="004E095C" w:rsidRDefault="00A12814" w:rsidP="00A12814">
      <w:pPr>
        <w:ind w:left="720"/>
        <w:rPr>
          <w:b/>
          <w:color w:val="000000"/>
          <w:sz w:val="22"/>
          <w:szCs w:val="22"/>
          <w:lang w:val="is-IS" w:eastAsia="is-IS"/>
        </w:rPr>
      </w:pPr>
    </w:p>
    <w:p w:rsidR="00A12814" w:rsidRPr="004E095C" w:rsidRDefault="00A12814" w:rsidP="00A12814">
      <w:pPr>
        <w:rPr>
          <w:b/>
          <w:sz w:val="22"/>
          <w:szCs w:val="22"/>
          <w:lang w:val="is-IS"/>
        </w:rPr>
      </w:pPr>
      <w:r w:rsidRPr="004E095C">
        <w:rPr>
          <w:b/>
          <w:sz w:val="22"/>
          <w:szCs w:val="22"/>
          <w:lang w:val="is-IS"/>
        </w:rPr>
        <w:t>Ef ósamræmi er á milli textans í þessu skjali og texta reglugerðar framkvæmdastjórnarinnar nr. 809/2004 er það texti reglugerðarinnar sem gildir.</w:t>
      </w:r>
    </w:p>
    <w:p w:rsidR="00841558" w:rsidRPr="004E095C" w:rsidRDefault="00841558" w:rsidP="004562C7">
      <w:pPr>
        <w:rPr>
          <w:b/>
          <w:color w:val="4F81BD" w:themeColor="accent1"/>
          <w:sz w:val="22"/>
          <w:szCs w:val="22"/>
          <w:lang w:val="is-IS"/>
        </w:rPr>
      </w:pPr>
    </w:p>
    <w:p w:rsidR="008969AD" w:rsidRPr="004E095C" w:rsidRDefault="008969AD" w:rsidP="00036D2A">
      <w:pPr>
        <w:rPr>
          <w:b/>
          <w:sz w:val="22"/>
          <w:szCs w:val="22"/>
          <w:lang w:val="is-IS"/>
        </w:rPr>
      </w:pPr>
    </w:p>
    <w:p w:rsidR="00620CA6" w:rsidRPr="004E095C" w:rsidRDefault="00620CA6" w:rsidP="00620CA6">
      <w:pPr>
        <w:ind w:left="-180" w:firstLine="180"/>
        <w:jc w:val="center"/>
        <w:rPr>
          <w:b/>
          <w:sz w:val="22"/>
          <w:szCs w:val="22"/>
          <w:lang w:val="is-IS"/>
        </w:rPr>
      </w:pPr>
      <w:r w:rsidRPr="004E095C">
        <w:rPr>
          <w:b/>
          <w:sz w:val="22"/>
          <w:szCs w:val="22"/>
          <w:lang w:val="is-IS"/>
        </w:rPr>
        <w:t>V</w:t>
      </w:r>
      <w:r w:rsidR="00A27F98" w:rsidRPr="004E095C">
        <w:rPr>
          <w:b/>
          <w:sz w:val="22"/>
          <w:szCs w:val="22"/>
          <w:lang w:val="is-IS"/>
        </w:rPr>
        <w:t>I</w:t>
      </w:r>
      <w:r w:rsidR="00007C93" w:rsidRPr="004E095C">
        <w:rPr>
          <w:b/>
          <w:sz w:val="22"/>
          <w:szCs w:val="22"/>
          <w:lang w:val="is-IS"/>
        </w:rPr>
        <w:t>I</w:t>
      </w:r>
      <w:r w:rsidR="00A27F98" w:rsidRPr="004E095C">
        <w:rPr>
          <w:b/>
          <w:sz w:val="22"/>
          <w:szCs w:val="22"/>
          <w:lang w:val="is-IS"/>
        </w:rPr>
        <w:t>I</w:t>
      </w:r>
      <w:r w:rsidRPr="004E095C">
        <w:rPr>
          <w:b/>
          <w:sz w:val="22"/>
          <w:szCs w:val="22"/>
          <w:lang w:val="is-IS"/>
        </w:rPr>
        <w:t>. VIÐAUKI</w:t>
      </w:r>
    </w:p>
    <w:p w:rsidR="00A27F98" w:rsidRPr="004E095C" w:rsidRDefault="00A27F98" w:rsidP="00620CA6">
      <w:pPr>
        <w:ind w:left="-180" w:firstLine="180"/>
        <w:jc w:val="center"/>
        <w:rPr>
          <w:b/>
          <w:sz w:val="22"/>
          <w:szCs w:val="22"/>
          <w:lang w:val="is-IS"/>
        </w:rPr>
      </w:pPr>
    </w:p>
    <w:p w:rsidR="00A27F98" w:rsidRDefault="00007C93" w:rsidP="00007C93">
      <w:pPr>
        <w:ind w:left="-180" w:firstLine="180"/>
        <w:jc w:val="center"/>
        <w:rPr>
          <w:rFonts w:ascii="TimesNewRoman,Bold" w:hAnsi="TimesNewRoman,Bold" w:cs="TimesNewRoman,Bold"/>
          <w:b/>
          <w:bCs/>
          <w:sz w:val="19"/>
          <w:szCs w:val="19"/>
          <w:lang w:val="is-IS" w:eastAsia="is-IS"/>
        </w:rPr>
      </w:pPr>
      <w:r w:rsidRPr="004E095C">
        <w:rPr>
          <w:rFonts w:ascii="TimesNewRoman,Bold" w:hAnsi="TimesNewRoman,Bold" w:cs="TimesNewRoman,Bold"/>
          <w:b/>
          <w:bCs/>
          <w:sz w:val="22"/>
          <w:szCs w:val="22"/>
          <w:lang w:val="is-IS" w:eastAsia="is-IS"/>
        </w:rPr>
        <w:t>Lágmarkskröfur um upplýsingar sem koma eiga fram í frekara viðbótarskjali fyrir eignavarin verðbréf</w:t>
      </w:r>
    </w:p>
    <w:p w:rsidR="00007C93" w:rsidRDefault="00007C93" w:rsidP="00A27F98">
      <w:pPr>
        <w:ind w:left="-180" w:firstLine="180"/>
        <w:rPr>
          <w:lang w:val="is-I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01"/>
        <w:gridCol w:w="850"/>
        <w:gridCol w:w="7697"/>
      </w:tblGrid>
      <w:tr w:rsidR="00365A21" w:rsidRPr="004E095C" w:rsidTr="008A00A9">
        <w:tc>
          <w:tcPr>
            <w:tcW w:w="1101" w:type="dxa"/>
          </w:tcPr>
          <w:p w:rsidR="00365A21" w:rsidRPr="00C4246A" w:rsidRDefault="00365A21" w:rsidP="00674FB4">
            <w:pPr>
              <w:rPr>
                <w:b/>
                <w:color w:val="FF0000"/>
                <w:sz w:val="22"/>
                <w:szCs w:val="22"/>
                <w:lang w:val="is-IS"/>
              </w:rPr>
            </w:pPr>
            <w:r>
              <w:rPr>
                <w:b/>
                <w:color w:val="FF0000"/>
                <w:sz w:val="22"/>
                <w:szCs w:val="22"/>
                <w:lang w:val="is-IS"/>
              </w:rPr>
              <w:t xml:space="preserve">Kafli# </w:t>
            </w:r>
            <w:proofErr w:type="spellStart"/>
            <w:r w:rsidRPr="00C4246A">
              <w:rPr>
                <w:b/>
                <w:color w:val="FF0000"/>
                <w:sz w:val="22"/>
                <w:szCs w:val="22"/>
                <w:lang w:val="is-IS"/>
              </w:rPr>
              <w:t>Bls</w:t>
            </w:r>
            <w:proofErr w:type="spellEnd"/>
            <w:r>
              <w:rPr>
                <w:b/>
                <w:color w:val="FF0000"/>
                <w:sz w:val="22"/>
                <w:szCs w:val="22"/>
                <w:lang w:val="is-IS"/>
              </w:rPr>
              <w:t>#</w:t>
            </w:r>
          </w:p>
        </w:tc>
        <w:tc>
          <w:tcPr>
            <w:tcW w:w="850" w:type="dxa"/>
            <w:vAlign w:val="center"/>
          </w:tcPr>
          <w:p w:rsidR="00365A21" w:rsidRPr="00C4246A" w:rsidRDefault="00365A21" w:rsidP="00674FB4">
            <w:pPr>
              <w:rPr>
                <w:b/>
                <w:sz w:val="22"/>
                <w:szCs w:val="22"/>
                <w:lang w:val="is-IS"/>
              </w:rPr>
            </w:pPr>
            <w:r w:rsidRPr="00C4246A">
              <w:rPr>
                <w:b/>
                <w:sz w:val="22"/>
                <w:szCs w:val="22"/>
                <w:lang w:val="is-IS"/>
              </w:rPr>
              <w:t>Liður</w:t>
            </w:r>
          </w:p>
        </w:tc>
        <w:tc>
          <w:tcPr>
            <w:tcW w:w="7697" w:type="dxa"/>
            <w:vAlign w:val="center"/>
          </w:tcPr>
          <w:p w:rsidR="00365A21" w:rsidRPr="00C4246A" w:rsidRDefault="00365A21" w:rsidP="00674FB4">
            <w:pPr>
              <w:rPr>
                <w:b/>
                <w:sz w:val="22"/>
                <w:szCs w:val="22"/>
              </w:rPr>
            </w:pPr>
            <w:proofErr w:type="spellStart"/>
            <w:r w:rsidRPr="00C4246A">
              <w:rPr>
                <w:b/>
                <w:sz w:val="22"/>
                <w:szCs w:val="22"/>
              </w:rPr>
              <w:t>Efni</w:t>
            </w:r>
            <w:proofErr w:type="spellEnd"/>
          </w:p>
        </w:tc>
      </w:tr>
      <w:tr w:rsidR="001C48A2" w:rsidRPr="004E095C" w:rsidTr="004E095C">
        <w:tc>
          <w:tcPr>
            <w:tcW w:w="1101" w:type="dxa"/>
          </w:tcPr>
          <w:p w:rsidR="001C48A2" w:rsidRPr="004E095C" w:rsidRDefault="001C48A2" w:rsidP="00A12814">
            <w:pPr>
              <w:rPr>
                <w:b/>
                <w:color w:val="FF0000"/>
                <w:sz w:val="22"/>
                <w:szCs w:val="22"/>
                <w:lang w:val="is-IS"/>
              </w:rPr>
            </w:pPr>
          </w:p>
        </w:tc>
        <w:tc>
          <w:tcPr>
            <w:tcW w:w="850" w:type="dxa"/>
          </w:tcPr>
          <w:p w:rsidR="001C48A2" w:rsidRPr="004E095C" w:rsidRDefault="008A365F" w:rsidP="00A12814">
            <w:pPr>
              <w:rPr>
                <w:b/>
                <w:sz w:val="22"/>
                <w:szCs w:val="22"/>
                <w:lang w:val="is-IS"/>
              </w:rPr>
            </w:pPr>
            <w:r w:rsidRPr="004E095C">
              <w:rPr>
                <w:b/>
                <w:sz w:val="22"/>
                <w:szCs w:val="22"/>
                <w:lang w:val="is-IS"/>
              </w:rPr>
              <w:t>1.</w:t>
            </w:r>
          </w:p>
        </w:tc>
        <w:tc>
          <w:tcPr>
            <w:tcW w:w="7697" w:type="dxa"/>
            <w:vAlign w:val="center"/>
          </w:tcPr>
          <w:p w:rsidR="001C48A2" w:rsidRPr="004E095C" w:rsidRDefault="00F31A29" w:rsidP="008A365F">
            <w:pPr>
              <w:rPr>
                <w:sz w:val="22"/>
                <w:szCs w:val="22"/>
                <w:lang w:val="is-IS"/>
              </w:rPr>
            </w:pPr>
            <w:r w:rsidRPr="004E095C">
              <w:rPr>
                <w:b/>
                <w:sz w:val="22"/>
                <w:szCs w:val="22"/>
              </w:rPr>
              <w:t>VERÐBRÉF</w:t>
            </w:r>
          </w:p>
        </w:tc>
      </w:tr>
      <w:tr w:rsidR="001C48A2" w:rsidRPr="004E095C" w:rsidTr="004E095C">
        <w:trPr>
          <w:trHeight w:val="28"/>
        </w:trPr>
        <w:tc>
          <w:tcPr>
            <w:tcW w:w="1101" w:type="dxa"/>
          </w:tcPr>
          <w:p w:rsidR="001C48A2" w:rsidRPr="004E095C" w:rsidRDefault="001C48A2" w:rsidP="00A12814">
            <w:pPr>
              <w:rPr>
                <w:sz w:val="22"/>
                <w:szCs w:val="22"/>
                <w:lang w:val="is-IS"/>
              </w:rPr>
            </w:pPr>
          </w:p>
        </w:tc>
        <w:tc>
          <w:tcPr>
            <w:tcW w:w="850" w:type="dxa"/>
          </w:tcPr>
          <w:p w:rsidR="001C48A2" w:rsidRPr="004E095C" w:rsidRDefault="008A365F" w:rsidP="00A12814">
            <w:pPr>
              <w:rPr>
                <w:b/>
                <w:sz w:val="22"/>
                <w:szCs w:val="22"/>
                <w:lang w:val="is-IS"/>
              </w:rPr>
            </w:pPr>
            <w:r w:rsidRPr="004E095C">
              <w:rPr>
                <w:b/>
                <w:sz w:val="22"/>
                <w:szCs w:val="22"/>
                <w:lang w:val="is-IS"/>
              </w:rPr>
              <w:t>1.1.</w:t>
            </w:r>
          </w:p>
        </w:tc>
        <w:tc>
          <w:tcPr>
            <w:tcW w:w="7697" w:type="dxa"/>
            <w:vAlign w:val="center"/>
          </w:tcPr>
          <w:p w:rsidR="001C48A2" w:rsidRPr="004E095C" w:rsidRDefault="00F31A29" w:rsidP="00CC2770">
            <w:pPr>
              <w:rPr>
                <w:sz w:val="22"/>
                <w:szCs w:val="22"/>
                <w:lang w:val="is-IS"/>
              </w:rPr>
            </w:pPr>
            <w:r w:rsidRPr="004E095C">
              <w:rPr>
                <w:sz w:val="22"/>
                <w:szCs w:val="22"/>
                <w:lang w:val="is-IS"/>
              </w:rPr>
              <w:t>Lágmarksnafnverð útgáfu.</w:t>
            </w:r>
          </w:p>
        </w:tc>
      </w:tr>
      <w:tr w:rsidR="001C48A2" w:rsidRPr="004E095C" w:rsidTr="004E095C">
        <w:trPr>
          <w:trHeight w:val="573"/>
        </w:trPr>
        <w:tc>
          <w:tcPr>
            <w:tcW w:w="1101" w:type="dxa"/>
          </w:tcPr>
          <w:p w:rsidR="001C48A2" w:rsidRPr="004E095C" w:rsidRDefault="001C48A2" w:rsidP="00A12814">
            <w:pPr>
              <w:rPr>
                <w:sz w:val="22"/>
                <w:szCs w:val="22"/>
                <w:lang w:val="is-IS"/>
              </w:rPr>
            </w:pPr>
          </w:p>
        </w:tc>
        <w:tc>
          <w:tcPr>
            <w:tcW w:w="850" w:type="dxa"/>
          </w:tcPr>
          <w:p w:rsidR="001C48A2" w:rsidRPr="004E095C" w:rsidRDefault="008A365F" w:rsidP="00A12814">
            <w:pPr>
              <w:rPr>
                <w:b/>
                <w:sz w:val="22"/>
                <w:szCs w:val="22"/>
                <w:lang w:val="is-IS"/>
              </w:rPr>
            </w:pPr>
            <w:r w:rsidRPr="004E095C">
              <w:rPr>
                <w:b/>
                <w:sz w:val="22"/>
                <w:szCs w:val="22"/>
                <w:lang w:val="is-IS"/>
              </w:rPr>
              <w:t>1.2.</w:t>
            </w:r>
          </w:p>
        </w:tc>
        <w:tc>
          <w:tcPr>
            <w:tcW w:w="7697" w:type="dxa"/>
            <w:vAlign w:val="center"/>
          </w:tcPr>
          <w:p w:rsidR="00F31A29" w:rsidRPr="004E095C" w:rsidRDefault="00F31A29" w:rsidP="00F31A29">
            <w:pPr>
              <w:rPr>
                <w:sz w:val="22"/>
                <w:szCs w:val="22"/>
                <w:lang w:val="is-IS"/>
              </w:rPr>
            </w:pPr>
            <w:r w:rsidRPr="004E095C">
              <w:rPr>
                <w:sz w:val="22"/>
                <w:szCs w:val="22"/>
                <w:lang w:val="is-IS"/>
              </w:rPr>
              <w:t>Ef tilgreindar eru upplýsingar um fyrirtæki/loforðsgjafa (</w:t>
            </w:r>
            <w:proofErr w:type="spellStart"/>
            <w:r w:rsidRPr="004E095C">
              <w:rPr>
                <w:sz w:val="22"/>
                <w:szCs w:val="22"/>
                <w:lang w:val="is-IS"/>
              </w:rPr>
              <w:t>obligor</w:t>
            </w:r>
            <w:proofErr w:type="spellEnd"/>
            <w:r w:rsidRPr="004E095C">
              <w:rPr>
                <w:sz w:val="22"/>
                <w:szCs w:val="22"/>
                <w:lang w:val="is-IS"/>
              </w:rPr>
              <w:t xml:space="preserve">) sem tengist ekki útgáfunni skal láta í té staðfestingu um að upplýsingarnar sem tengjast fyrirtækinu/loforðsgjafanum hafi verið nákvæmlega byggðar á upplýsingum sem fyrirtækið/loforðsgjafinn hefur gefið út. Að svo miklu leyti sem útgefanda er kunnugt um og honum er unnt skal hann staðfesta, út frá þeim upplýsingum sem fyrirtækið/loforðsgjafi hefur birt, að engum staðreyndum sé sleppt sem geri upplýsingarnar, sem hann hefur eftir, ónákvæmar eða misvísandi. </w:t>
            </w:r>
          </w:p>
          <w:p w:rsidR="00F31A29" w:rsidRPr="004E095C" w:rsidRDefault="00F31A29" w:rsidP="00F31A29">
            <w:pPr>
              <w:rPr>
                <w:sz w:val="22"/>
                <w:szCs w:val="22"/>
                <w:lang w:val="is-IS"/>
              </w:rPr>
            </w:pPr>
          </w:p>
          <w:p w:rsidR="001C48A2" w:rsidRPr="004E095C" w:rsidRDefault="00F31A29" w:rsidP="00F31A29">
            <w:pPr>
              <w:rPr>
                <w:sz w:val="22"/>
                <w:szCs w:val="22"/>
                <w:lang w:val="is-IS"/>
              </w:rPr>
            </w:pPr>
            <w:r w:rsidRPr="004E095C">
              <w:rPr>
                <w:sz w:val="22"/>
                <w:szCs w:val="22"/>
                <w:lang w:val="is-IS"/>
              </w:rPr>
              <w:t>Þar að auki skal tilgreina hvaðan upplýsingar í verðbréfalýsingu, sem byggjast á upplýsingum sem fyrirtæki/loforðsgjafi hefur birt, eru fengnar.</w:t>
            </w:r>
          </w:p>
        </w:tc>
      </w:tr>
      <w:tr w:rsidR="001C48A2" w:rsidRPr="004E095C" w:rsidTr="004E095C">
        <w:trPr>
          <w:trHeight w:val="28"/>
        </w:trPr>
        <w:tc>
          <w:tcPr>
            <w:tcW w:w="1101" w:type="dxa"/>
          </w:tcPr>
          <w:p w:rsidR="001C48A2" w:rsidRPr="004E095C" w:rsidRDefault="001C48A2" w:rsidP="00A12814">
            <w:pPr>
              <w:rPr>
                <w:sz w:val="22"/>
                <w:szCs w:val="22"/>
                <w:lang w:val="is-IS"/>
              </w:rPr>
            </w:pPr>
          </w:p>
        </w:tc>
        <w:tc>
          <w:tcPr>
            <w:tcW w:w="850" w:type="dxa"/>
          </w:tcPr>
          <w:p w:rsidR="001C48A2" w:rsidRPr="004E095C" w:rsidRDefault="008A365F" w:rsidP="00A12814">
            <w:pPr>
              <w:rPr>
                <w:b/>
                <w:sz w:val="22"/>
                <w:szCs w:val="22"/>
                <w:lang w:val="is-IS"/>
              </w:rPr>
            </w:pPr>
            <w:r w:rsidRPr="004E095C">
              <w:rPr>
                <w:b/>
                <w:sz w:val="22"/>
                <w:szCs w:val="22"/>
                <w:lang w:val="is-IS"/>
              </w:rPr>
              <w:t>2.</w:t>
            </w:r>
          </w:p>
        </w:tc>
        <w:tc>
          <w:tcPr>
            <w:tcW w:w="7697" w:type="dxa"/>
            <w:vAlign w:val="center"/>
          </w:tcPr>
          <w:p w:rsidR="001C48A2" w:rsidRPr="004E095C" w:rsidRDefault="00F31A29" w:rsidP="008A365F">
            <w:pPr>
              <w:rPr>
                <w:sz w:val="22"/>
                <w:szCs w:val="22"/>
                <w:lang w:val="is-IS"/>
              </w:rPr>
            </w:pPr>
            <w:r w:rsidRPr="004E095C">
              <w:rPr>
                <w:b/>
                <w:sz w:val="22"/>
                <w:szCs w:val="22"/>
              </w:rPr>
              <w:t>UNDIRLIGGJANDI EIGNIR</w:t>
            </w:r>
          </w:p>
        </w:tc>
      </w:tr>
      <w:tr w:rsidR="001C48A2" w:rsidRPr="004E095C" w:rsidTr="004E095C">
        <w:trPr>
          <w:trHeight w:val="720"/>
        </w:trPr>
        <w:tc>
          <w:tcPr>
            <w:tcW w:w="1101" w:type="dxa"/>
          </w:tcPr>
          <w:p w:rsidR="001C48A2" w:rsidRPr="004E095C" w:rsidRDefault="001C48A2" w:rsidP="00A12814">
            <w:pPr>
              <w:rPr>
                <w:sz w:val="22"/>
                <w:szCs w:val="22"/>
                <w:lang w:val="is-IS"/>
              </w:rPr>
            </w:pPr>
          </w:p>
        </w:tc>
        <w:tc>
          <w:tcPr>
            <w:tcW w:w="850" w:type="dxa"/>
          </w:tcPr>
          <w:p w:rsidR="001C48A2" w:rsidRPr="004E095C" w:rsidRDefault="008A365F" w:rsidP="00A12814">
            <w:pPr>
              <w:rPr>
                <w:b/>
                <w:sz w:val="22"/>
                <w:szCs w:val="22"/>
                <w:lang w:val="is-IS"/>
              </w:rPr>
            </w:pPr>
            <w:r w:rsidRPr="004E095C">
              <w:rPr>
                <w:b/>
                <w:sz w:val="22"/>
                <w:szCs w:val="22"/>
                <w:lang w:val="is-IS"/>
              </w:rPr>
              <w:t>2.1.</w:t>
            </w:r>
          </w:p>
        </w:tc>
        <w:tc>
          <w:tcPr>
            <w:tcW w:w="7697" w:type="dxa"/>
            <w:vAlign w:val="center"/>
          </w:tcPr>
          <w:p w:rsidR="001C48A2" w:rsidRPr="004E095C" w:rsidRDefault="00F31A29" w:rsidP="00F31A29">
            <w:pPr>
              <w:rPr>
                <w:sz w:val="22"/>
                <w:szCs w:val="22"/>
                <w:lang w:val="is-IS"/>
              </w:rPr>
            </w:pPr>
            <w:r w:rsidRPr="004E095C">
              <w:rPr>
                <w:sz w:val="22"/>
                <w:szCs w:val="22"/>
                <w:lang w:val="is-IS"/>
              </w:rPr>
              <w:t>Staðfesting þess efnis að tryggðu eignirnar (</w:t>
            </w:r>
            <w:proofErr w:type="spellStart"/>
            <w:r w:rsidRPr="004E095C">
              <w:rPr>
                <w:sz w:val="22"/>
                <w:szCs w:val="22"/>
                <w:lang w:val="is-IS"/>
              </w:rPr>
              <w:t>securitised</w:t>
            </w:r>
            <w:proofErr w:type="spellEnd"/>
            <w:r w:rsidRPr="004E095C">
              <w:rPr>
                <w:sz w:val="22"/>
                <w:szCs w:val="22"/>
                <w:lang w:val="is-IS"/>
              </w:rPr>
              <w:t xml:space="preserve"> </w:t>
            </w:r>
            <w:proofErr w:type="spellStart"/>
            <w:r w:rsidRPr="004E095C">
              <w:rPr>
                <w:sz w:val="22"/>
                <w:szCs w:val="22"/>
                <w:lang w:val="is-IS"/>
              </w:rPr>
              <w:t>assets</w:t>
            </w:r>
            <w:proofErr w:type="spellEnd"/>
            <w:r w:rsidRPr="004E095C">
              <w:rPr>
                <w:sz w:val="22"/>
                <w:szCs w:val="22"/>
                <w:lang w:val="is-IS"/>
              </w:rPr>
              <w:t>) sem liggja til grundvallar útgáfunni feli í sér þætti sem geta myndað fjármagnstekjur sem standa straum af afborgunum af verðbréfunum.</w:t>
            </w:r>
          </w:p>
        </w:tc>
      </w:tr>
      <w:tr w:rsidR="005058E7" w:rsidRPr="004E095C" w:rsidTr="004E095C">
        <w:trPr>
          <w:trHeight w:val="334"/>
        </w:trPr>
        <w:tc>
          <w:tcPr>
            <w:tcW w:w="1101" w:type="dxa"/>
          </w:tcPr>
          <w:p w:rsidR="005058E7" w:rsidRPr="004E095C" w:rsidRDefault="005058E7" w:rsidP="00A12814">
            <w:pPr>
              <w:rPr>
                <w:sz w:val="22"/>
                <w:szCs w:val="22"/>
                <w:lang w:val="is-IS"/>
              </w:rPr>
            </w:pPr>
          </w:p>
        </w:tc>
        <w:tc>
          <w:tcPr>
            <w:tcW w:w="850" w:type="dxa"/>
          </w:tcPr>
          <w:p w:rsidR="005058E7" w:rsidRPr="004E095C" w:rsidRDefault="00F31A29" w:rsidP="00A12814">
            <w:pPr>
              <w:rPr>
                <w:b/>
                <w:sz w:val="22"/>
                <w:szCs w:val="22"/>
                <w:lang w:val="is-IS"/>
              </w:rPr>
            </w:pPr>
            <w:r w:rsidRPr="004E095C">
              <w:rPr>
                <w:b/>
                <w:sz w:val="22"/>
                <w:szCs w:val="22"/>
                <w:lang w:val="is-IS"/>
              </w:rPr>
              <w:t>2.2.</w:t>
            </w:r>
          </w:p>
        </w:tc>
        <w:tc>
          <w:tcPr>
            <w:tcW w:w="7697" w:type="dxa"/>
            <w:vAlign w:val="center"/>
          </w:tcPr>
          <w:p w:rsidR="005058E7" w:rsidRPr="004E095C" w:rsidRDefault="00F31A29" w:rsidP="003665B6">
            <w:pPr>
              <w:rPr>
                <w:sz w:val="22"/>
                <w:szCs w:val="22"/>
                <w:lang w:val="is-IS"/>
              </w:rPr>
            </w:pPr>
            <w:r w:rsidRPr="004E095C">
              <w:rPr>
                <w:sz w:val="22"/>
                <w:szCs w:val="22"/>
                <w:lang w:val="is-IS"/>
              </w:rPr>
              <w:t>Ef útgáfan samanstendur af safni aðgreindra eigna (</w:t>
            </w:r>
            <w:proofErr w:type="spellStart"/>
            <w:r w:rsidRPr="004E095C">
              <w:rPr>
                <w:sz w:val="22"/>
                <w:szCs w:val="22"/>
                <w:lang w:val="is-IS"/>
              </w:rPr>
              <w:t>pool</w:t>
            </w:r>
            <w:proofErr w:type="spellEnd"/>
            <w:r w:rsidRPr="004E095C">
              <w:rPr>
                <w:sz w:val="22"/>
                <w:szCs w:val="22"/>
                <w:lang w:val="is-IS"/>
              </w:rPr>
              <w:t xml:space="preserve"> of </w:t>
            </w:r>
            <w:proofErr w:type="spellStart"/>
            <w:r w:rsidRPr="004E095C">
              <w:rPr>
                <w:sz w:val="22"/>
                <w:szCs w:val="22"/>
                <w:lang w:val="is-IS"/>
              </w:rPr>
              <w:t>discrete</w:t>
            </w:r>
            <w:proofErr w:type="spellEnd"/>
            <w:r w:rsidRPr="004E095C">
              <w:rPr>
                <w:sz w:val="22"/>
                <w:szCs w:val="22"/>
                <w:lang w:val="is-IS"/>
              </w:rPr>
              <w:t xml:space="preserve"> </w:t>
            </w:r>
            <w:proofErr w:type="spellStart"/>
            <w:r w:rsidRPr="004E095C">
              <w:rPr>
                <w:sz w:val="22"/>
                <w:szCs w:val="22"/>
                <w:lang w:val="is-IS"/>
              </w:rPr>
              <w:t>assets</w:t>
            </w:r>
            <w:proofErr w:type="spellEnd"/>
            <w:r w:rsidRPr="004E095C">
              <w:rPr>
                <w:sz w:val="22"/>
                <w:szCs w:val="22"/>
                <w:lang w:val="is-IS"/>
              </w:rPr>
              <w:t>) skal tilgreina eftirfarandi:</w:t>
            </w:r>
          </w:p>
        </w:tc>
      </w:tr>
      <w:tr w:rsidR="005058E7" w:rsidRPr="004E095C" w:rsidTr="004E095C">
        <w:trPr>
          <w:trHeight w:val="28"/>
        </w:trPr>
        <w:tc>
          <w:tcPr>
            <w:tcW w:w="1101" w:type="dxa"/>
          </w:tcPr>
          <w:p w:rsidR="005058E7" w:rsidRPr="004E095C" w:rsidRDefault="005058E7" w:rsidP="00A12814">
            <w:pPr>
              <w:rPr>
                <w:sz w:val="22"/>
                <w:szCs w:val="22"/>
                <w:lang w:val="is-IS"/>
              </w:rPr>
            </w:pPr>
          </w:p>
        </w:tc>
        <w:tc>
          <w:tcPr>
            <w:tcW w:w="850" w:type="dxa"/>
          </w:tcPr>
          <w:p w:rsidR="005058E7" w:rsidRPr="004E095C" w:rsidRDefault="00F31A29" w:rsidP="00A12814">
            <w:pPr>
              <w:rPr>
                <w:b/>
                <w:sz w:val="22"/>
                <w:szCs w:val="22"/>
                <w:lang w:val="is-IS"/>
              </w:rPr>
            </w:pPr>
            <w:r w:rsidRPr="004E095C">
              <w:rPr>
                <w:b/>
                <w:sz w:val="22"/>
                <w:szCs w:val="22"/>
                <w:lang w:val="is-IS"/>
              </w:rPr>
              <w:t>2.2.1.</w:t>
            </w:r>
          </w:p>
        </w:tc>
        <w:tc>
          <w:tcPr>
            <w:tcW w:w="7697" w:type="dxa"/>
            <w:vAlign w:val="center"/>
          </w:tcPr>
          <w:p w:rsidR="005058E7" w:rsidRPr="004E095C" w:rsidRDefault="00F31A29" w:rsidP="00CC2770">
            <w:pPr>
              <w:rPr>
                <w:sz w:val="22"/>
                <w:szCs w:val="22"/>
                <w:lang w:val="is-IS"/>
              </w:rPr>
            </w:pPr>
            <w:r w:rsidRPr="004E095C">
              <w:rPr>
                <w:sz w:val="22"/>
                <w:szCs w:val="22"/>
                <w:lang w:val="is-IS"/>
              </w:rPr>
              <w:t>Löggjöfina sem eignasafnið heyrir undir.</w:t>
            </w:r>
          </w:p>
        </w:tc>
      </w:tr>
      <w:tr w:rsidR="00CC2770" w:rsidRPr="004E095C" w:rsidTr="004E095C">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2.2.2.</w:t>
            </w:r>
          </w:p>
        </w:tc>
        <w:tc>
          <w:tcPr>
            <w:tcW w:w="7697" w:type="dxa"/>
            <w:vAlign w:val="center"/>
          </w:tcPr>
          <w:p w:rsidR="00F31A29" w:rsidRDefault="00F31A29" w:rsidP="00F31A29">
            <w:pPr>
              <w:pStyle w:val="ListParagraph"/>
              <w:numPr>
                <w:ilvl w:val="0"/>
                <w:numId w:val="14"/>
              </w:numPr>
              <w:autoSpaceDE w:val="0"/>
              <w:autoSpaceDN w:val="0"/>
              <w:adjustRightInd w:val="0"/>
              <w:rPr>
                <w:sz w:val="22"/>
                <w:szCs w:val="22"/>
                <w:lang w:val="is-IS"/>
              </w:rPr>
            </w:pPr>
            <w:r w:rsidRPr="004E095C">
              <w:rPr>
                <w:sz w:val="22"/>
                <w:szCs w:val="22"/>
                <w:lang w:val="is-IS"/>
              </w:rPr>
              <w:t>Ef um er að ræða fáa loforðsgjafa, sem auðvelt er að tilgreina, skal leggja fram almenna lýsingu á hverjum þeirra.</w:t>
            </w:r>
          </w:p>
          <w:p w:rsidR="00CC2770" w:rsidRPr="004E095C" w:rsidRDefault="00F31A29" w:rsidP="00F31A29">
            <w:pPr>
              <w:pStyle w:val="ListParagraph"/>
              <w:numPr>
                <w:ilvl w:val="0"/>
                <w:numId w:val="14"/>
              </w:numPr>
              <w:autoSpaceDE w:val="0"/>
              <w:autoSpaceDN w:val="0"/>
              <w:adjustRightInd w:val="0"/>
              <w:rPr>
                <w:sz w:val="22"/>
                <w:szCs w:val="22"/>
                <w:lang w:val="is-IS"/>
              </w:rPr>
            </w:pPr>
            <w:r w:rsidRPr="004E095C">
              <w:rPr>
                <w:sz w:val="22"/>
                <w:szCs w:val="22"/>
                <w:lang w:val="is-IS"/>
              </w:rPr>
              <w:t>Í öllum öðrum tilvikum skal gefa upplýsingar um almenn einkenni loforðsgjafanna, efnahagslegt umhverfi, ásamt yfirgripsmiklum tölfræðilegum gögnum sem tengjast tryggðu eignunum.</w:t>
            </w:r>
          </w:p>
        </w:tc>
      </w:tr>
      <w:tr w:rsidR="00CC2770" w:rsidRPr="004E095C" w:rsidTr="004E095C">
        <w:trPr>
          <w:trHeight w:val="269"/>
        </w:trPr>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2.2.3.</w:t>
            </w:r>
          </w:p>
        </w:tc>
        <w:tc>
          <w:tcPr>
            <w:tcW w:w="7697" w:type="dxa"/>
            <w:vAlign w:val="center"/>
          </w:tcPr>
          <w:p w:rsidR="00CC2770" w:rsidRPr="004E095C" w:rsidRDefault="00F31A29" w:rsidP="00CC2770">
            <w:pPr>
              <w:rPr>
                <w:b/>
                <w:sz w:val="22"/>
                <w:szCs w:val="22"/>
              </w:rPr>
            </w:pPr>
            <w:r w:rsidRPr="004E095C">
              <w:rPr>
                <w:sz w:val="22"/>
                <w:szCs w:val="22"/>
                <w:lang w:val="is-IS"/>
              </w:rPr>
              <w:t>Lagalegt eðli eignanna.</w:t>
            </w:r>
          </w:p>
        </w:tc>
      </w:tr>
      <w:tr w:rsidR="00CC2770" w:rsidRPr="004E095C" w:rsidTr="004E095C">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2.2.4.</w:t>
            </w:r>
          </w:p>
        </w:tc>
        <w:tc>
          <w:tcPr>
            <w:tcW w:w="7697" w:type="dxa"/>
            <w:vAlign w:val="center"/>
          </w:tcPr>
          <w:p w:rsidR="00CC2770" w:rsidRPr="004E095C" w:rsidRDefault="00F31A29" w:rsidP="00B5708E">
            <w:pPr>
              <w:autoSpaceDE w:val="0"/>
              <w:autoSpaceDN w:val="0"/>
              <w:adjustRightInd w:val="0"/>
              <w:rPr>
                <w:b/>
                <w:sz w:val="22"/>
                <w:szCs w:val="22"/>
                <w:lang w:val="da-DK"/>
              </w:rPr>
            </w:pPr>
            <w:r w:rsidRPr="004E095C">
              <w:rPr>
                <w:sz w:val="22"/>
                <w:szCs w:val="22"/>
                <w:lang w:val="is-IS"/>
              </w:rPr>
              <w:t>Fyrningardagur eða fyrningardagar eða gjalddagi eða gjalddagar eignanna.</w:t>
            </w:r>
          </w:p>
        </w:tc>
      </w:tr>
      <w:tr w:rsidR="00CC2770" w:rsidRPr="004E095C" w:rsidTr="004E095C">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2.2.5.</w:t>
            </w:r>
          </w:p>
        </w:tc>
        <w:tc>
          <w:tcPr>
            <w:tcW w:w="7697" w:type="dxa"/>
            <w:vAlign w:val="center"/>
          </w:tcPr>
          <w:p w:rsidR="00CC2770" w:rsidRPr="004E095C" w:rsidRDefault="00F31A29" w:rsidP="00B5708E">
            <w:pPr>
              <w:autoSpaceDE w:val="0"/>
              <w:autoSpaceDN w:val="0"/>
              <w:adjustRightInd w:val="0"/>
              <w:rPr>
                <w:sz w:val="22"/>
                <w:szCs w:val="22"/>
                <w:lang w:val="is-IS"/>
              </w:rPr>
            </w:pPr>
            <w:r w:rsidRPr="004E095C">
              <w:rPr>
                <w:sz w:val="22"/>
                <w:szCs w:val="22"/>
                <w:lang w:val="is-IS"/>
              </w:rPr>
              <w:t>Fjárhæð eignanna.</w:t>
            </w:r>
          </w:p>
        </w:tc>
      </w:tr>
      <w:tr w:rsidR="00CC2770" w:rsidRPr="004E095C" w:rsidTr="004E095C">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2.2.6.</w:t>
            </w:r>
          </w:p>
        </w:tc>
        <w:tc>
          <w:tcPr>
            <w:tcW w:w="7697" w:type="dxa"/>
            <w:vAlign w:val="center"/>
          </w:tcPr>
          <w:p w:rsidR="00CC2770" w:rsidRPr="004E095C" w:rsidRDefault="00F31A29" w:rsidP="00B5708E">
            <w:pPr>
              <w:autoSpaceDE w:val="0"/>
              <w:autoSpaceDN w:val="0"/>
              <w:adjustRightInd w:val="0"/>
              <w:rPr>
                <w:sz w:val="22"/>
                <w:szCs w:val="22"/>
                <w:lang w:val="is-IS"/>
              </w:rPr>
            </w:pPr>
            <w:r w:rsidRPr="004E095C">
              <w:rPr>
                <w:sz w:val="22"/>
                <w:szCs w:val="22"/>
                <w:lang w:val="is-IS"/>
              </w:rPr>
              <w:t>Fjárhæð lánsins í hlutfalli við fjárhæð tryggingar sem er sett fyrir láninu.</w:t>
            </w:r>
          </w:p>
        </w:tc>
      </w:tr>
      <w:tr w:rsidR="00CC2770" w:rsidRPr="004E095C" w:rsidTr="004E095C">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2.2.7.</w:t>
            </w:r>
          </w:p>
        </w:tc>
        <w:tc>
          <w:tcPr>
            <w:tcW w:w="7697" w:type="dxa"/>
            <w:vAlign w:val="center"/>
          </w:tcPr>
          <w:p w:rsidR="00CC2770" w:rsidRPr="004E095C" w:rsidRDefault="00F31A29" w:rsidP="00F31A29">
            <w:pPr>
              <w:autoSpaceDE w:val="0"/>
              <w:autoSpaceDN w:val="0"/>
              <w:adjustRightInd w:val="0"/>
              <w:rPr>
                <w:sz w:val="22"/>
                <w:szCs w:val="22"/>
                <w:lang w:val="is-IS"/>
              </w:rPr>
            </w:pPr>
            <w:r w:rsidRPr="004E095C">
              <w:rPr>
                <w:sz w:val="22"/>
                <w:szCs w:val="22"/>
                <w:lang w:val="is-IS"/>
              </w:rPr>
              <w:t>Aðferðin sem er notuð í tengslum við tilurð eða myndun eigna og fyrir lán og lánasamninga, helstu lánaviðmið og upplýsingar um lán sem uppfylla ekki þessi viðmið og réttindi eða skyldur í tengslum við fyrirframgreiðslu.</w:t>
            </w:r>
          </w:p>
        </w:tc>
      </w:tr>
      <w:tr w:rsidR="00CC2770" w:rsidRPr="004E095C" w:rsidTr="004E095C">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2.2.8.</w:t>
            </w:r>
          </w:p>
        </w:tc>
        <w:tc>
          <w:tcPr>
            <w:tcW w:w="7697" w:type="dxa"/>
            <w:vAlign w:val="center"/>
          </w:tcPr>
          <w:p w:rsidR="00CC2770" w:rsidRPr="004E095C" w:rsidRDefault="00F31A29" w:rsidP="00CC2770">
            <w:pPr>
              <w:autoSpaceDE w:val="0"/>
              <w:autoSpaceDN w:val="0"/>
              <w:adjustRightInd w:val="0"/>
              <w:rPr>
                <w:sz w:val="22"/>
                <w:szCs w:val="22"/>
                <w:lang w:val="is-IS"/>
              </w:rPr>
            </w:pPr>
            <w:r w:rsidRPr="004E095C">
              <w:rPr>
                <w:sz w:val="22"/>
                <w:szCs w:val="22"/>
                <w:lang w:val="is-IS"/>
              </w:rPr>
              <w:t>Mikilvægar upplýsingar og tryggingar sem eru veittar útgefanda í tengslum við viðkomandi eignir.</w:t>
            </w:r>
          </w:p>
        </w:tc>
      </w:tr>
      <w:tr w:rsidR="00CC2770" w:rsidRPr="004E095C" w:rsidTr="004E095C">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2.2.9.</w:t>
            </w:r>
          </w:p>
        </w:tc>
        <w:tc>
          <w:tcPr>
            <w:tcW w:w="7697" w:type="dxa"/>
            <w:vAlign w:val="center"/>
          </w:tcPr>
          <w:p w:rsidR="00CC2770" w:rsidRPr="004E095C" w:rsidRDefault="00F31A29" w:rsidP="00F31A29">
            <w:pPr>
              <w:autoSpaceDE w:val="0"/>
              <w:autoSpaceDN w:val="0"/>
              <w:adjustRightInd w:val="0"/>
              <w:rPr>
                <w:sz w:val="22"/>
                <w:szCs w:val="22"/>
                <w:lang w:val="is-IS"/>
              </w:rPr>
            </w:pPr>
            <w:r w:rsidRPr="004E095C">
              <w:rPr>
                <w:sz w:val="22"/>
                <w:szCs w:val="22"/>
                <w:lang w:val="is-IS"/>
              </w:rPr>
              <w:t>Hvers kyns réttindi til að skipta út eignum og lýsing á því hvernig það fer fram og tegund eigna sem hægt er að skipta út á þennan hátt. Ef unnt er að skipta eignum út með eignum í öðrum flokki eða af öðrum gæðum skal gefa yfirlýsingu þess efnis og þar að auki skal lýsa áhrifum slíkrar útskiptingar.</w:t>
            </w:r>
          </w:p>
        </w:tc>
      </w:tr>
      <w:tr w:rsidR="00CC2770" w:rsidRPr="004E095C" w:rsidTr="004E095C">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2.2.10.</w:t>
            </w:r>
          </w:p>
        </w:tc>
        <w:tc>
          <w:tcPr>
            <w:tcW w:w="7697" w:type="dxa"/>
            <w:vAlign w:val="center"/>
          </w:tcPr>
          <w:p w:rsidR="00CC2770" w:rsidRPr="004E095C" w:rsidRDefault="00F31A29" w:rsidP="00F31A29">
            <w:pPr>
              <w:tabs>
                <w:tab w:val="left" w:pos="7485"/>
              </w:tabs>
              <w:rPr>
                <w:b/>
                <w:sz w:val="22"/>
                <w:szCs w:val="22"/>
                <w:lang w:val="da-DK"/>
              </w:rPr>
            </w:pPr>
            <w:r w:rsidRPr="004E095C">
              <w:rPr>
                <w:sz w:val="22"/>
                <w:szCs w:val="22"/>
                <w:lang w:val="da-DK"/>
              </w:rPr>
              <w:t>Lýsing á viðeigandi vátryggingarsamningum sem tengjast eignunum. Skylt er að greina frá samsöfnun (concentration) hjá einu vátryggingarfélagi ef það skiptir máli fyrir viðskiptin.</w:t>
            </w:r>
          </w:p>
        </w:tc>
      </w:tr>
      <w:tr w:rsidR="00CC2770" w:rsidRPr="004E095C" w:rsidTr="004E095C">
        <w:trPr>
          <w:trHeight w:val="342"/>
        </w:trPr>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2.2.11.</w:t>
            </w:r>
          </w:p>
        </w:tc>
        <w:tc>
          <w:tcPr>
            <w:tcW w:w="7697" w:type="dxa"/>
            <w:vAlign w:val="center"/>
          </w:tcPr>
          <w:p w:rsidR="00F31A29" w:rsidRDefault="00F31A29" w:rsidP="00F31A29">
            <w:pPr>
              <w:autoSpaceDE w:val="0"/>
              <w:autoSpaceDN w:val="0"/>
              <w:adjustRightInd w:val="0"/>
              <w:rPr>
                <w:sz w:val="22"/>
                <w:szCs w:val="22"/>
                <w:lang w:val="is-IS"/>
              </w:rPr>
            </w:pPr>
            <w:r w:rsidRPr="004E095C">
              <w:rPr>
                <w:sz w:val="22"/>
                <w:szCs w:val="22"/>
                <w:lang w:val="is-IS"/>
              </w:rPr>
              <w:t>Ef eignir fela í sér skuldbindingar fimm eða færri loforðsgjafa (</w:t>
            </w:r>
            <w:proofErr w:type="spellStart"/>
            <w:r w:rsidRPr="004E095C">
              <w:rPr>
                <w:sz w:val="22"/>
                <w:szCs w:val="22"/>
                <w:lang w:val="is-IS"/>
              </w:rPr>
              <w:t>obligors</w:t>
            </w:r>
            <w:proofErr w:type="spellEnd"/>
            <w:r w:rsidRPr="004E095C">
              <w:rPr>
                <w:sz w:val="22"/>
                <w:szCs w:val="22"/>
                <w:lang w:val="is-IS"/>
              </w:rPr>
              <w:t>) sem eru lögaðilar eða ef loforðsgjafi stendur fyrir 20% af eignunum eða meira eða ef loforðsgjafi stendur fyrir verulegan hluta eignanna, skal útgefandi, svo framarlega sem honum er kunnugt um og/eða honum er unnt að staðfesta út frá upplýsingum sem loforðsgjafi eða loforðsgjafar hafa birt, tilgreina annan eftirfarandi liða:</w:t>
            </w:r>
          </w:p>
          <w:p w:rsidR="004E095C" w:rsidRPr="004E095C" w:rsidRDefault="004E095C" w:rsidP="00F31A29">
            <w:pPr>
              <w:autoSpaceDE w:val="0"/>
              <w:autoSpaceDN w:val="0"/>
              <w:adjustRightInd w:val="0"/>
              <w:rPr>
                <w:sz w:val="22"/>
                <w:szCs w:val="22"/>
                <w:lang w:val="is-IS"/>
              </w:rPr>
            </w:pPr>
          </w:p>
          <w:p w:rsidR="00F31A29" w:rsidRDefault="00F31A29" w:rsidP="00F31A29">
            <w:pPr>
              <w:pStyle w:val="ListParagraph"/>
              <w:numPr>
                <w:ilvl w:val="0"/>
                <w:numId w:val="16"/>
              </w:numPr>
              <w:autoSpaceDE w:val="0"/>
              <w:autoSpaceDN w:val="0"/>
              <w:adjustRightInd w:val="0"/>
              <w:rPr>
                <w:sz w:val="22"/>
                <w:szCs w:val="22"/>
                <w:lang w:val="is-IS"/>
              </w:rPr>
            </w:pPr>
            <w:r w:rsidRPr="004E095C">
              <w:rPr>
                <w:sz w:val="22"/>
                <w:szCs w:val="22"/>
                <w:lang w:val="is-IS"/>
              </w:rPr>
              <w:t xml:space="preserve">Upplýsingar um hvern loforðsgjafa eins og um væri að ræða útgefanda sem semur útgefandalýsingu fyrir skuldabréf og afleidd verðbréf þar sem nafnvirði hvers bréfs er a.m.k. </w:t>
            </w:r>
            <w:r w:rsidR="0094498A">
              <w:rPr>
                <w:sz w:val="22"/>
                <w:szCs w:val="22"/>
                <w:lang w:val="is-IS"/>
              </w:rPr>
              <w:t>10</w:t>
            </w:r>
            <w:bookmarkStart w:id="0" w:name="_GoBack"/>
            <w:bookmarkEnd w:id="0"/>
            <w:r w:rsidRPr="004E095C">
              <w:rPr>
                <w:sz w:val="22"/>
                <w:szCs w:val="22"/>
                <w:lang w:val="is-IS"/>
              </w:rPr>
              <w:t>0.000 evrur,</w:t>
            </w:r>
          </w:p>
          <w:p w:rsidR="004E095C" w:rsidRDefault="004E095C" w:rsidP="004E095C">
            <w:pPr>
              <w:pStyle w:val="ListParagraph"/>
              <w:autoSpaceDE w:val="0"/>
              <w:autoSpaceDN w:val="0"/>
              <w:adjustRightInd w:val="0"/>
              <w:rPr>
                <w:sz w:val="22"/>
                <w:szCs w:val="22"/>
                <w:lang w:val="is-IS"/>
              </w:rPr>
            </w:pPr>
          </w:p>
          <w:p w:rsidR="00CC2770" w:rsidRPr="004E095C" w:rsidRDefault="00F31A29" w:rsidP="004E095C">
            <w:pPr>
              <w:pStyle w:val="ListParagraph"/>
              <w:numPr>
                <w:ilvl w:val="0"/>
                <w:numId w:val="16"/>
              </w:numPr>
              <w:autoSpaceDE w:val="0"/>
              <w:autoSpaceDN w:val="0"/>
              <w:adjustRightInd w:val="0"/>
              <w:rPr>
                <w:sz w:val="22"/>
                <w:szCs w:val="22"/>
                <w:lang w:val="is-IS" w:eastAsia="is-IS"/>
              </w:rPr>
            </w:pPr>
            <w:r w:rsidRPr="004E095C">
              <w:rPr>
                <w:sz w:val="22"/>
                <w:szCs w:val="22"/>
                <w:lang w:val="is-IS"/>
              </w:rPr>
              <w:t>ef loforðsgjafi eða ábyrgðaraðili á verðbréf sem þegar hafa verið skráð á skipulegan verðbréfamarkað eða sambærilegan markað eða ef skuldbindingarnar eru tryggðar af aðila, sem er skráður á skipulegan verðbréfamarkað eða sambærilegan markað, skal veita upplýsingar um nafn, heimilisfang, landið þar sem aðilinn er skráður, eðli starfseminnar og heiti markaðarins þar sem verðbréfin eru skráð.</w:t>
            </w:r>
          </w:p>
        </w:tc>
      </w:tr>
      <w:tr w:rsidR="00CC2770" w:rsidRPr="004E095C" w:rsidTr="004E095C">
        <w:trPr>
          <w:trHeight w:val="333"/>
        </w:trPr>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2.2.12.</w:t>
            </w:r>
          </w:p>
        </w:tc>
        <w:tc>
          <w:tcPr>
            <w:tcW w:w="7697" w:type="dxa"/>
            <w:vAlign w:val="center"/>
          </w:tcPr>
          <w:p w:rsidR="00CC2770" w:rsidRPr="004E095C" w:rsidRDefault="00F31A29" w:rsidP="00F31A29">
            <w:pPr>
              <w:autoSpaceDE w:val="0"/>
              <w:autoSpaceDN w:val="0"/>
              <w:adjustRightInd w:val="0"/>
              <w:rPr>
                <w:bCs/>
                <w:sz w:val="22"/>
                <w:szCs w:val="22"/>
                <w:lang w:val="is-IS" w:eastAsia="is-IS"/>
              </w:rPr>
            </w:pPr>
            <w:r w:rsidRPr="004E095C">
              <w:rPr>
                <w:bCs/>
                <w:sz w:val="22"/>
                <w:szCs w:val="22"/>
                <w:lang w:val="is-IS" w:eastAsia="is-IS"/>
              </w:rPr>
              <w:t>Ef tengsl eru milli útgefanda, ábyrgðaraðila og loforðsgjafa sem skipta máli fyrir útgáfuna skal gefa ítarlegar upplýsingar um helstu skilmála sem gilda um þessi tengsl.</w:t>
            </w:r>
          </w:p>
        </w:tc>
      </w:tr>
      <w:tr w:rsidR="00CC2770" w:rsidRPr="004E095C" w:rsidTr="004E095C">
        <w:trPr>
          <w:trHeight w:val="333"/>
        </w:trPr>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2.2.13.</w:t>
            </w:r>
          </w:p>
        </w:tc>
        <w:tc>
          <w:tcPr>
            <w:tcW w:w="7697" w:type="dxa"/>
            <w:vAlign w:val="center"/>
          </w:tcPr>
          <w:p w:rsidR="00CC2770" w:rsidRPr="004E095C" w:rsidRDefault="00F31A29" w:rsidP="00F31A29">
            <w:pPr>
              <w:autoSpaceDE w:val="0"/>
              <w:autoSpaceDN w:val="0"/>
              <w:adjustRightInd w:val="0"/>
              <w:rPr>
                <w:sz w:val="22"/>
                <w:szCs w:val="22"/>
                <w:lang w:val="is-IS" w:eastAsia="is-IS"/>
              </w:rPr>
            </w:pPr>
            <w:r w:rsidRPr="004E095C">
              <w:rPr>
                <w:sz w:val="22"/>
                <w:szCs w:val="22"/>
                <w:lang w:val="is-IS" w:eastAsia="is-IS"/>
              </w:rPr>
              <w:t>Ef eignirnar fela í sér skuldbindingar sem ekki eru höfð viðskipti með á skipulegum verðbréfamarkaði eða sambærilegum markaði skal lýsa helstu skilmálum og skilyrðum skuldbindinganna.</w:t>
            </w:r>
          </w:p>
        </w:tc>
      </w:tr>
      <w:tr w:rsidR="00CC2770" w:rsidRPr="004E095C" w:rsidTr="004E095C">
        <w:trPr>
          <w:trHeight w:val="333"/>
        </w:trPr>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2.2.14.</w:t>
            </w:r>
          </w:p>
        </w:tc>
        <w:tc>
          <w:tcPr>
            <w:tcW w:w="7697" w:type="dxa"/>
            <w:vAlign w:val="center"/>
          </w:tcPr>
          <w:p w:rsidR="00F31A29" w:rsidRDefault="00F31A29" w:rsidP="00F31A29">
            <w:pPr>
              <w:autoSpaceDE w:val="0"/>
              <w:autoSpaceDN w:val="0"/>
              <w:adjustRightInd w:val="0"/>
              <w:rPr>
                <w:bCs/>
                <w:sz w:val="22"/>
                <w:szCs w:val="22"/>
                <w:lang w:val="is-IS" w:eastAsia="is-IS"/>
              </w:rPr>
            </w:pPr>
            <w:r w:rsidRPr="004E095C">
              <w:rPr>
                <w:bCs/>
                <w:sz w:val="22"/>
                <w:szCs w:val="22"/>
                <w:lang w:val="is-IS" w:eastAsia="is-IS"/>
              </w:rPr>
              <w:t>Ef eignir samanstanda af hlutabréfum sem eru skráð á skipulegan verðbréfamarkað eða sambærilegan markað skal tilgreina eftirfarandi:</w:t>
            </w:r>
          </w:p>
          <w:p w:rsidR="004E095C" w:rsidRPr="004E095C" w:rsidRDefault="004E095C" w:rsidP="00F31A29">
            <w:pPr>
              <w:autoSpaceDE w:val="0"/>
              <w:autoSpaceDN w:val="0"/>
              <w:adjustRightInd w:val="0"/>
              <w:rPr>
                <w:bCs/>
                <w:sz w:val="22"/>
                <w:szCs w:val="22"/>
                <w:lang w:val="is-IS" w:eastAsia="is-IS"/>
              </w:rPr>
            </w:pPr>
          </w:p>
          <w:p w:rsidR="00F31A29" w:rsidRDefault="00F31A29" w:rsidP="00F31A29">
            <w:pPr>
              <w:pStyle w:val="ListParagraph"/>
              <w:numPr>
                <w:ilvl w:val="0"/>
                <w:numId w:val="18"/>
              </w:numPr>
              <w:autoSpaceDE w:val="0"/>
              <w:autoSpaceDN w:val="0"/>
              <w:adjustRightInd w:val="0"/>
              <w:rPr>
                <w:bCs/>
                <w:sz w:val="22"/>
                <w:szCs w:val="22"/>
                <w:lang w:val="is-IS" w:eastAsia="is-IS"/>
              </w:rPr>
            </w:pPr>
            <w:r w:rsidRPr="004E095C">
              <w:rPr>
                <w:bCs/>
                <w:sz w:val="22"/>
                <w:szCs w:val="22"/>
                <w:lang w:val="is-IS" w:eastAsia="is-IS"/>
              </w:rPr>
              <w:t>Lýsingu á verðbréfunum,</w:t>
            </w:r>
          </w:p>
          <w:p w:rsidR="004E095C" w:rsidRPr="004E095C" w:rsidRDefault="004E095C" w:rsidP="004E095C">
            <w:pPr>
              <w:pStyle w:val="ListParagraph"/>
              <w:autoSpaceDE w:val="0"/>
              <w:autoSpaceDN w:val="0"/>
              <w:adjustRightInd w:val="0"/>
              <w:rPr>
                <w:bCs/>
                <w:sz w:val="22"/>
                <w:szCs w:val="22"/>
                <w:lang w:val="is-IS" w:eastAsia="is-IS"/>
              </w:rPr>
            </w:pPr>
          </w:p>
          <w:p w:rsidR="00F31A29" w:rsidRDefault="00F31A29" w:rsidP="00F31A29">
            <w:pPr>
              <w:pStyle w:val="ListParagraph"/>
              <w:numPr>
                <w:ilvl w:val="0"/>
                <w:numId w:val="18"/>
              </w:numPr>
              <w:autoSpaceDE w:val="0"/>
              <w:autoSpaceDN w:val="0"/>
              <w:adjustRightInd w:val="0"/>
              <w:rPr>
                <w:bCs/>
                <w:sz w:val="22"/>
                <w:szCs w:val="22"/>
                <w:lang w:val="is-IS" w:eastAsia="is-IS"/>
              </w:rPr>
            </w:pPr>
            <w:r w:rsidRPr="004E095C">
              <w:rPr>
                <w:bCs/>
                <w:sz w:val="22"/>
                <w:szCs w:val="22"/>
                <w:lang w:val="is-IS" w:eastAsia="is-IS"/>
              </w:rPr>
              <w:t xml:space="preserve">lýsingu á markaðnum þar sem viðskipti fara fram með verðbréfin, þ.m.t. stofndagur, hvernig verðupplýsingar eru birtar, upplýsingar um daglegt magn verðbréfa sem höndlað er með, upplýsingar um stöðu markaðarins í viðkomandi landi og heiti á innlendu eftirlitsyfirvaldi markaðarins, </w:t>
            </w:r>
          </w:p>
          <w:p w:rsidR="004E095C" w:rsidRPr="004E095C" w:rsidRDefault="004E095C" w:rsidP="004E095C">
            <w:pPr>
              <w:pStyle w:val="ListParagraph"/>
              <w:autoSpaceDE w:val="0"/>
              <w:autoSpaceDN w:val="0"/>
              <w:adjustRightInd w:val="0"/>
              <w:rPr>
                <w:bCs/>
                <w:sz w:val="22"/>
                <w:szCs w:val="22"/>
                <w:lang w:val="is-IS" w:eastAsia="is-IS"/>
              </w:rPr>
            </w:pPr>
          </w:p>
          <w:p w:rsidR="00CC2770" w:rsidRPr="004E095C" w:rsidRDefault="00F31A29" w:rsidP="00F31A29">
            <w:pPr>
              <w:pStyle w:val="ListParagraph"/>
              <w:numPr>
                <w:ilvl w:val="0"/>
                <w:numId w:val="18"/>
              </w:numPr>
              <w:autoSpaceDE w:val="0"/>
              <w:autoSpaceDN w:val="0"/>
              <w:adjustRightInd w:val="0"/>
              <w:rPr>
                <w:bCs/>
                <w:sz w:val="22"/>
                <w:szCs w:val="22"/>
                <w:lang w:val="is-IS" w:eastAsia="is-IS"/>
              </w:rPr>
            </w:pPr>
            <w:r w:rsidRPr="004E095C">
              <w:rPr>
                <w:bCs/>
                <w:sz w:val="22"/>
                <w:szCs w:val="22"/>
                <w:lang w:val="is-IS" w:eastAsia="is-IS"/>
              </w:rPr>
              <w:t>hversu oft verð viðkomandi verðbréfa eru birt.</w:t>
            </w:r>
          </w:p>
        </w:tc>
      </w:tr>
      <w:tr w:rsidR="00CC2770" w:rsidRPr="004E095C" w:rsidTr="004E095C">
        <w:trPr>
          <w:trHeight w:val="28"/>
        </w:trPr>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2.2.15.</w:t>
            </w:r>
          </w:p>
        </w:tc>
        <w:tc>
          <w:tcPr>
            <w:tcW w:w="7697" w:type="dxa"/>
            <w:vAlign w:val="center"/>
          </w:tcPr>
          <w:p w:rsidR="00CC2770" w:rsidRPr="004E095C" w:rsidRDefault="00F31A29" w:rsidP="00F31A29">
            <w:pPr>
              <w:autoSpaceDE w:val="0"/>
              <w:autoSpaceDN w:val="0"/>
              <w:adjustRightInd w:val="0"/>
              <w:rPr>
                <w:b/>
                <w:bCs/>
                <w:sz w:val="22"/>
                <w:szCs w:val="22"/>
                <w:lang w:val="is-IS" w:eastAsia="is-IS"/>
              </w:rPr>
            </w:pPr>
            <w:r w:rsidRPr="004E095C">
              <w:rPr>
                <w:sz w:val="22"/>
                <w:szCs w:val="22"/>
                <w:lang w:val="is-IS" w:eastAsia="is-IS"/>
              </w:rPr>
              <w:t xml:space="preserve">Ef meira en 10% af eignunum samanstendur af hlutabréfum sem ekki eru höfð viðskipti með á skipulegum verðbréfamarkaði eða sambærilegum markaði skal fylgja lýsing á þessum hlutabréfum og upplýsingar, sem eru sambærilegar þeim sem er að finna í skrá fyrir útgefandalýsingu fyrir hluti, að því er varðar hvern útgefanda </w:t>
            </w:r>
            <w:r w:rsidRPr="004E095C">
              <w:rPr>
                <w:sz w:val="22"/>
                <w:szCs w:val="22"/>
                <w:lang w:val="is-IS" w:eastAsia="is-IS"/>
              </w:rPr>
              <w:lastRenderedPageBreak/>
              <w:t>þessara verðbréfa.</w:t>
            </w:r>
          </w:p>
        </w:tc>
      </w:tr>
      <w:tr w:rsidR="00CC2770" w:rsidRPr="004E095C" w:rsidTr="004E095C">
        <w:trPr>
          <w:trHeight w:val="333"/>
        </w:trPr>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2.2.16.</w:t>
            </w:r>
          </w:p>
        </w:tc>
        <w:tc>
          <w:tcPr>
            <w:tcW w:w="7697" w:type="dxa"/>
            <w:vAlign w:val="center"/>
          </w:tcPr>
          <w:p w:rsidR="00CC2770" w:rsidRPr="004E095C" w:rsidRDefault="00F31A29" w:rsidP="00F31A29">
            <w:pPr>
              <w:autoSpaceDE w:val="0"/>
              <w:autoSpaceDN w:val="0"/>
              <w:adjustRightInd w:val="0"/>
              <w:rPr>
                <w:bCs/>
                <w:sz w:val="22"/>
                <w:szCs w:val="22"/>
                <w:lang w:val="is-IS" w:eastAsia="is-IS"/>
              </w:rPr>
            </w:pPr>
            <w:r w:rsidRPr="004E095C">
              <w:rPr>
                <w:bCs/>
                <w:sz w:val="22"/>
                <w:szCs w:val="22"/>
                <w:lang w:val="is-IS" w:eastAsia="is-IS"/>
              </w:rPr>
              <w:t>Ef verulegur hluti eignanna er tryggður með fasteign skal leggja fram matskýrslu um fasteignina þar sem fram kemur bæði hvers virði hún er og sjóðs- og tekjustreymi.</w:t>
            </w:r>
          </w:p>
          <w:p w:rsidR="00E501B1" w:rsidRPr="004E095C" w:rsidRDefault="00E501B1" w:rsidP="00F31A29">
            <w:pPr>
              <w:autoSpaceDE w:val="0"/>
              <w:autoSpaceDN w:val="0"/>
              <w:adjustRightInd w:val="0"/>
              <w:rPr>
                <w:bCs/>
                <w:sz w:val="22"/>
                <w:szCs w:val="22"/>
                <w:lang w:val="is-IS" w:eastAsia="is-IS"/>
              </w:rPr>
            </w:pPr>
          </w:p>
          <w:p w:rsidR="00E501B1" w:rsidRPr="004E095C" w:rsidRDefault="00E501B1" w:rsidP="00E501B1">
            <w:pPr>
              <w:autoSpaceDE w:val="0"/>
              <w:autoSpaceDN w:val="0"/>
              <w:adjustRightInd w:val="0"/>
              <w:rPr>
                <w:bCs/>
                <w:sz w:val="22"/>
                <w:szCs w:val="22"/>
                <w:lang w:val="is-IS" w:eastAsia="is-IS"/>
              </w:rPr>
            </w:pPr>
            <w:r w:rsidRPr="004E095C">
              <w:rPr>
                <w:bCs/>
                <w:sz w:val="22"/>
                <w:szCs w:val="22"/>
                <w:lang w:val="is-IS" w:eastAsia="is-IS"/>
              </w:rPr>
              <w:t>Ekki er krafist birtingar ef útgáfan tengist verðbréfum sem eru tryggð með veðlánum í fasteign, þar sem ekki hefur farið fram neitt endurmat á fasteigninni vegna útgáfunnar og þar sem skýrt er tekið fram að matið, sem sett er fram, miðist við daginn þegar gengið var frá upprunalega veðláninu.</w:t>
            </w:r>
          </w:p>
        </w:tc>
      </w:tr>
      <w:tr w:rsidR="00CC2770" w:rsidRPr="004E095C" w:rsidTr="004E095C">
        <w:trPr>
          <w:trHeight w:val="333"/>
        </w:trPr>
        <w:tc>
          <w:tcPr>
            <w:tcW w:w="1101" w:type="dxa"/>
          </w:tcPr>
          <w:p w:rsidR="00CC2770" w:rsidRPr="004E095C" w:rsidRDefault="00CC2770" w:rsidP="00A12814">
            <w:pPr>
              <w:rPr>
                <w:sz w:val="22"/>
                <w:szCs w:val="22"/>
                <w:lang w:val="is-IS"/>
              </w:rPr>
            </w:pPr>
          </w:p>
        </w:tc>
        <w:tc>
          <w:tcPr>
            <w:tcW w:w="850" w:type="dxa"/>
          </w:tcPr>
          <w:p w:rsidR="00CC2770" w:rsidRPr="004E095C" w:rsidRDefault="00F31A29" w:rsidP="00A12814">
            <w:pPr>
              <w:rPr>
                <w:b/>
                <w:sz w:val="22"/>
                <w:szCs w:val="22"/>
                <w:lang w:val="is-IS"/>
              </w:rPr>
            </w:pPr>
            <w:r w:rsidRPr="004E095C">
              <w:rPr>
                <w:b/>
                <w:sz w:val="22"/>
                <w:szCs w:val="22"/>
                <w:lang w:val="is-IS"/>
              </w:rPr>
              <w:t>2.3.</w:t>
            </w:r>
          </w:p>
        </w:tc>
        <w:tc>
          <w:tcPr>
            <w:tcW w:w="7697" w:type="dxa"/>
            <w:vAlign w:val="center"/>
          </w:tcPr>
          <w:p w:rsidR="00CC2770" w:rsidRPr="004E095C" w:rsidRDefault="00E501B1" w:rsidP="00A21FFA">
            <w:pPr>
              <w:autoSpaceDE w:val="0"/>
              <w:autoSpaceDN w:val="0"/>
              <w:adjustRightInd w:val="0"/>
              <w:rPr>
                <w:b/>
                <w:bCs/>
                <w:sz w:val="22"/>
                <w:szCs w:val="22"/>
                <w:lang w:val="is-IS" w:eastAsia="is-IS"/>
              </w:rPr>
            </w:pPr>
            <w:r w:rsidRPr="004E095C">
              <w:rPr>
                <w:sz w:val="22"/>
                <w:szCs w:val="22"/>
                <w:lang w:val="is-IS" w:eastAsia="is-IS"/>
              </w:rPr>
              <w:t>Að því er varðar stýrt safn af eignum, sem liggur til grundvallar útgáfunni, skal tilgreina eftirfarandi:</w:t>
            </w:r>
          </w:p>
        </w:tc>
      </w:tr>
      <w:tr w:rsidR="00CC2770" w:rsidRPr="004E095C" w:rsidTr="004E095C">
        <w:trPr>
          <w:trHeight w:val="333"/>
        </w:trPr>
        <w:tc>
          <w:tcPr>
            <w:tcW w:w="1101" w:type="dxa"/>
          </w:tcPr>
          <w:p w:rsidR="00CC2770" w:rsidRPr="004E095C" w:rsidRDefault="00CC2770" w:rsidP="00A12814">
            <w:pPr>
              <w:rPr>
                <w:sz w:val="22"/>
                <w:szCs w:val="22"/>
                <w:lang w:val="is-IS"/>
              </w:rPr>
            </w:pPr>
          </w:p>
        </w:tc>
        <w:tc>
          <w:tcPr>
            <w:tcW w:w="850" w:type="dxa"/>
          </w:tcPr>
          <w:p w:rsidR="00CC2770" w:rsidRPr="004E095C" w:rsidRDefault="00E501B1" w:rsidP="00A12814">
            <w:pPr>
              <w:rPr>
                <w:b/>
                <w:sz w:val="22"/>
                <w:szCs w:val="22"/>
                <w:lang w:val="is-IS"/>
              </w:rPr>
            </w:pPr>
            <w:r w:rsidRPr="004E095C">
              <w:rPr>
                <w:b/>
                <w:sz w:val="22"/>
                <w:szCs w:val="22"/>
                <w:lang w:val="is-IS"/>
              </w:rPr>
              <w:t>2.3.1.</w:t>
            </w:r>
          </w:p>
        </w:tc>
        <w:tc>
          <w:tcPr>
            <w:tcW w:w="7697" w:type="dxa"/>
            <w:vAlign w:val="center"/>
          </w:tcPr>
          <w:p w:rsidR="00CC2770" w:rsidRPr="004E095C" w:rsidRDefault="00E501B1" w:rsidP="00E501B1">
            <w:pPr>
              <w:autoSpaceDE w:val="0"/>
              <w:autoSpaceDN w:val="0"/>
              <w:adjustRightInd w:val="0"/>
              <w:rPr>
                <w:b/>
                <w:bCs/>
                <w:sz w:val="22"/>
                <w:szCs w:val="22"/>
                <w:lang w:val="is-IS" w:eastAsia="is-IS"/>
              </w:rPr>
            </w:pPr>
            <w:r w:rsidRPr="004E095C">
              <w:rPr>
                <w:sz w:val="22"/>
                <w:szCs w:val="22"/>
                <w:lang w:val="is-IS" w:eastAsia="is-IS"/>
              </w:rPr>
              <w:t>Upplýsingar sem eru sambærilegar þeim sem er að finna í liðum 2.1. og 2.2 til að unnt sé að meta tegund, gæði, tiltækileika og hvort eignagerðirnar í eignasafninu (</w:t>
            </w:r>
            <w:proofErr w:type="spellStart"/>
            <w:r w:rsidRPr="004E095C">
              <w:rPr>
                <w:sz w:val="22"/>
                <w:szCs w:val="22"/>
                <w:lang w:val="is-IS" w:eastAsia="is-IS"/>
              </w:rPr>
              <w:t>portfolio</w:t>
            </w:r>
            <w:proofErr w:type="spellEnd"/>
            <w:r w:rsidRPr="004E095C">
              <w:rPr>
                <w:sz w:val="22"/>
                <w:szCs w:val="22"/>
                <w:lang w:val="is-IS" w:eastAsia="is-IS"/>
              </w:rPr>
              <w:t>), sem eru trygging fyrir útgáfunni, séu seljanlegar.</w:t>
            </w:r>
          </w:p>
        </w:tc>
      </w:tr>
      <w:tr w:rsidR="00CC2770" w:rsidRPr="004E095C" w:rsidTr="004E095C">
        <w:trPr>
          <w:trHeight w:val="333"/>
        </w:trPr>
        <w:tc>
          <w:tcPr>
            <w:tcW w:w="1101" w:type="dxa"/>
          </w:tcPr>
          <w:p w:rsidR="00CC2770" w:rsidRPr="004E095C" w:rsidRDefault="00CC2770" w:rsidP="00A12814">
            <w:pPr>
              <w:rPr>
                <w:sz w:val="22"/>
                <w:szCs w:val="22"/>
                <w:lang w:val="is-IS"/>
              </w:rPr>
            </w:pPr>
          </w:p>
        </w:tc>
        <w:tc>
          <w:tcPr>
            <w:tcW w:w="850" w:type="dxa"/>
          </w:tcPr>
          <w:p w:rsidR="00CC2770" w:rsidRPr="004E095C" w:rsidRDefault="00E501B1" w:rsidP="009057BA">
            <w:pPr>
              <w:rPr>
                <w:b/>
                <w:sz w:val="22"/>
                <w:szCs w:val="22"/>
                <w:lang w:val="is-IS"/>
              </w:rPr>
            </w:pPr>
            <w:r w:rsidRPr="004E095C">
              <w:rPr>
                <w:b/>
                <w:sz w:val="22"/>
                <w:szCs w:val="22"/>
                <w:lang w:val="is-IS"/>
              </w:rPr>
              <w:t>2.3.2.</w:t>
            </w:r>
          </w:p>
        </w:tc>
        <w:tc>
          <w:tcPr>
            <w:tcW w:w="7697" w:type="dxa"/>
            <w:vAlign w:val="center"/>
          </w:tcPr>
          <w:p w:rsidR="00E501B1" w:rsidRPr="004E095C" w:rsidRDefault="00E501B1" w:rsidP="00E501B1">
            <w:pPr>
              <w:autoSpaceDE w:val="0"/>
              <w:autoSpaceDN w:val="0"/>
              <w:adjustRightInd w:val="0"/>
              <w:rPr>
                <w:sz w:val="22"/>
                <w:szCs w:val="22"/>
                <w:lang w:val="is-IS" w:eastAsia="is-IS"/>
              </w:rPr>
            </w:pPr>
            <w:r w:rsidRPr="004E095C">
              <w:rPr>
                <w:sz w:val="22"/>
                <w:szCs w:val="22"/>
                <w:lang w:val="is-IS" w:eastAsia="is-IS"/>
              </w:rPr>
              <w:t>Mælikvarðar sem eru notaðir við fjárfestingar, nafn og lýsing á aðila, sem er ábyrgur fyrir slíkri stjórnun, þ.m.t. lýsing á sérfræðikunnáttu og reynslu hans,</w:t>
            </w:r>
          </w:p>
          <w:p w:rsidR="00CC2770" w:rsidRPr="004E095C" w:rsidRDefault="00E501B1" w:rsidP="00E501B1">
            <w:pPr>
              <w:autoSpaceDE w:val="0"/>
              <w:autoSpaceDN w:val="0"/>
              <w:adjustRightInd w:val="0"/>
              <w:rPr>
                <w:b/>
                <w:bCs/>
                <w:sz w:val="22"/>
                <w:szCs w:val="22"/>
                <w:lang w:val="is-IS" w:eastAsia="is-IS"/>
              </w:rPr>
            </w:pPr>
            <w:r w:rsidRPr="004E095C">
              <w:rPr>
                <w:sz w:val="22"/>
                <w:szCs w:val="22"/>
                <w:lang w:val="is-IS" w:eastAsia="is-IS"/>
              </w:rPr>
              <w:t>samantekt á ákvæðum varðandi hvernig eigi að ljúka samvinnu við slíkan aðila og stofna til sambands við annan aðila og lýsing á tengslum þessa aðila við alla hina sem eiga aðild að útgáfunni.</w:t>
            </w:r>
          </w:p>
        </w:tc>
      </w:tr>
      <w:tr w:rsidR="00E501B1" w:rsidRPr="004E095C" w:rsidTr="004E095C">
        <w:trPr>
          <w:trHeight w:val="333"/>
        </w:trPr>
        <w:tc>
          <w:tcPr>
            <w:tcW w:w="1101" w:type="dxa"/>
          </w:tcPr>
          <w:p w:rsidR="00E501B1" w:rsidRPr="004E095C" w:rsidRDefault="00E501B1" w:rsidP="00A12814">
            <w:pPr>
              <w:rPr>
                <w:sz w:val="22"/>
                <w:szCs w:val="22"/>
                <w:lang w:val="is-IS"/>
              </w:rPr>
            </w:pPr>
          </w:p>
        </w:tc>
        <w:tc>
          <w:tcPr>
            <w:tcW w:w="850" w:type="dxa"/>
          </w:tcPr>
          <w:p w:rsidR="00E501B1" w:rsidRPr="004E095C" w:rsidRDefault="00E501B1" w:rsidP="00A12814">
            <w:pPr>
              <w:rPr>
                <w:b/>
                <w:sz w:val="22"/>
                <w:szCs w:val="22"/>
                <w:lang w:val="is-IS"/>
              </w:rPr>
            </w:pPr>
            <w:r w:rsidRPr="004E095C">
              <w:rPr>
                <w:b/>
                <w:sz w:val="22"/>
                <w:szCs w:val="22"/>
                <w:lang w:val="is-IS"/>
              </w:rPr>
              <w:t>2.4.</w:t>
            </w:r>
          </w:p>
        </w:tc>
        <w:tc>
          <w:tcPr>
            <w:tcW w:w="7697" w:type="dxa"/>
            <w:vAlign w:val="center"/>
          </w:tcPr>
          <w:p w:rsidR="00E501B1" w:rsidRPr="004E095C" w:rsidRDefault="00E501B1" w:rsidP="00E501B1">
            <w:pPr>
              <w:autoSpaceDE w:val="0"/>
              <w:autoSpaceDN w:val="0"/>
              <w:adjustRightInd w:val="0"/>
              <w:rPr>
                <w:b/>
                <w:bCs/>
                <w:sz w:val="22"/>
                <w:szCs w:val="22"/>
                <w:lang w:val="is-IS" w:eastAsia="is-IS"/>
              </w:rPr>
            </w:pPr>
            <w:r w:rsidRPr="004E095C">
              <w:rPr>
                <w:sz w:val="22"/>
                <w:szCs w:val="22"/>
                <w:lang w:val="is-IS" w:eastAsia="is-IS"/>
              </w:rPr>
              <w:t>Ef útgefandi fyrirhugar að gefa út fleiri verðbréf sem eru tryggð með sömu eignum skal greina frá því með skýrum hætti og lýsa því hvernig eigendum verðbréfa í þessum flokki verði tilkynnt um það nema að þessi nýju verðbréf séu skiptanleg með skuldabréfaflokkum, sem til staðar eru, eða skipuð undir þá.</w:t>
            </w:r>
          </w:p>
        </w:tc>
      </w:tr>
      <w:tr w:rsidR="00CC2770" w:rsidRPr="004E095C" w:rsidTr="004E095C">
        <w:trPr>
          <w:trHeight w:val="28"/>
        </w:trPr>
        <w:tc>
          <w:tcPr>
            <w:tcW w:w="1101" w:type="dxa"/>
          </w:tcPr>
          <w:p w:rsidR="00CC2770" w:rsidRPr="004E095C" w:rsidRDefault="00CC2770" w:rsidP="00A12814">
            <w:pPr>
              <w:rPr>
                <w:sz w:val="22"/>
                <w:szCs w:val="22"/>
                <w:lang w:val="is-IS"/>
              </w:rPr>
            </w:pPr>
          </w:p>
        </w:tc>
        <w:tc>
          <w:tcPr>
            <w:tcW w:w="850" w:type="dxa"/>
          </w:tcPr>
          <w:p w:rsidR="00CC2770" w:rsidRPr="004E095C" w:rsidRDefault="00E501B1" w:rsidP="00A12814">
            <w:pPr>
              <w:rPr>
                <w:b/>
                <w:sz w:val="22"/>
                <w:szCs w:val="22"/>
                <w:lang w:val="is-IS"/>
              </w:rPr>
            </w:pPr>
            <w:r w:rsidRPr="004E095C">
              <w:rPr>
                <w:b/>
                <w:sz w:val="22"/>
                <w:szCs w:val="22"/>
                <w:lang w:val="is-IS"/>
              </w:rPr>
              <w:t>3</w:t>
            </w:r>
          </w:p>
        </w:tc>
        <w:tc>
          <w:tcPr>
            <w:tcW w:w="7697" w:type="dxa"/>
            <w:vAlign w:val="center"/>
          </w:tcPr>
          <w:p w:rsidR="009057BA" w:rsidRPr="004E095C" w:rsidRDefault="00E501B1" w:rsidP="009057BA">
            <w:pPr>
              <w:autoSpaceDE w:val="0"/>
              <w:autoSpaceDN w:val="0"/>
              <w:adjustRightInd w:val="0"/>
              <w:rPr>
                <w:b/>
                <w:bCs/>
                <w:sz w:val="22"/>
                <w:szCs w:val="22"/>
                <w:lang w:val="is-IS" w:eastAsia="is-IS"/>
              </w:rPr>
            </w:pPr>
            <w:r w:rsidRPr="004E095C">
              <w:rPr>
                <w:b/>
                <w:bCs/>
                <w:sz w:val="22"/>
                <w:szCs w:val="22"/>
                <w:lang w:val="is-IS" w:eastAsia="is-IS"/>
              </w:rPr>
              <w:t>SKIPULAG OG SJÓÐSSTREYMI</w:t>
            </w:r>
          </w:p>
        </w:tc>
      </w:tr>
      <w:tr w:rsidR="009057BA" w:rsidRPr="004E095C" w:rsidTr="004E095C">
        <w:trPr>
          <w:trHeight w:val="28"/>
        </w:trPr>
        <w:tc>
          <w:tcPr>
            <w:tcW w:w="1101" w:type="dxa"/>
          </w:tcPr>
          <w:p w:rsidR="009057BA" w:rsidRPr="004E095C" w:rsidRDefault="009057BA" w:rsidP="00A12814">
            <w:pPr>
              <w:rPr>
                <w:sz w:val="22"/>
                <w:szCs w:val="22"/>
                <w:lang w:val="is-IS"/>
              </w:rPr>
            </w:pPr>
          </w:p>
        </w:tc>
        <w:tc>
          <w:tcPr>
            <w:tcW w:w="850" w:type="dxa"/>
          </w:tcPr>
          <w:p w:rsidR="009057BA" w:rsidRPr="004E095C" w:rsidRDefault="005D1D79" w:rsidP="00A12814">
            <w:pPr>
              <w:rPr>
                <w:b/>
                <w:sz w:val="22"/>
                <w:szCs w:val="22"/>
                <w:lang w:val="is-IS"/>
              </w:rPr>
            </w:pPr>
            <w:r w:rsidRPr="004E095C">
              <w:rPr>
                <w:b/>
                <w:sz w:val="22"/>
                <w:szCs w:val="22"/>
                <w:lang w:val="is-IS"/>
              </w:rPr>
              <w:t>3.1.</w:t>
            </w:r>
          </w:p>
        </w:tc>
        <w:tc>
          <w:tcPr>
            <w:tcW w:w="7697" w:type="dxa"/>
            <w:vAlign w:val="center"/>
          </w:tcPr>
          <w:p w:rsidR="009057BA" w:rsidRPr="004E095C" w:rsidRDefault="005D1D79" w:rsidP="00626012">
            <w:pPr>
              <w:autoSpaceDE w:val="0"/>
              <w:autoSpaceDN w:val="0"/>
              <w:adjustRightInd w:val="0"/>
              <w:rPr>
                <w:b/>
                <w:bCs/>
                <w:sz w:val="22"/>
                <w:szCs w:val="22"/>
                <w:lang w:val="is-IS" w:eastAsia="is-IS"/>
              </w:rPr>
            </w:pPr>
            <w:r w:rsidRPr="004E095C">
              <w:rPr>
                <w:sz w:val="22"/>
                <w:szCs w:val="22"/>
                <w:lang w:val="is-IS" w:eastAsia="is-IS"/>
              </w:rPr>
              <w:t>Lýsing á skipulagi viðskiptanna, þ.m.t., ef nauðsyn krefur, flæðirit.</w:t>
            </w:r>
          </w:p>
        </w:tc>
      </w:tr>
      <w:tr w:rsidR="009057BA" w:rsidRPr="004E095C" w:rsidTr="004E095C">
        <w:trPr>
          <w:trHeight w:val="28"/>
        </w:trPr>
        <w:tc>
          <w:tcPr>
            <w:tcW w:w="1101" w:type="dxa"/>
          </w:tcPr>
          <w:p w:rsidR="009057BA" w:rsidRPr="004E095C" w:rsidRDefault="009057BA" w:rsidP="00A12814">
            <w:pPr>
              <w:rPr>
                <w:sz w:val="22"/>
                <w:szCs w:val="22"/>
                <w:lang w:val="is-IS"/>
              </w:rPr>
            </w:pPr>
          </w:p>
        </w:tc>
        <w:tc>
          <w:tcPr>
            <w:tcW w:w="850" w:type="dxa"/>
          </w:tcPr>
          <w:p w:rsidR="009057BA" w:rsidRPr="004E095C" w:rsidRDefault="005D1D79" w:rsidP="00A12814">
            <w:pPr>
              <w:rPr>
                <w:b/>
                <w:sz w:val="22"/>
                <w:szCs w:val="22"/>
                <w:lang w:val="is-IS"/>
              </w:rPr>
            </w:pPr>
            <w:r w:rsidRPr="004E095C">
              <w:rPr>
                <w:b/>
                <w:sz w:val="22"/>
                <w:szCs w:val="22"/>
                <w:lang w:val="is-IS"/>
              </w:rPr>
              <w:t>3.2.</w:t>
            </w:r>
          </w:p>
        </w:tc>
        <w:tc>
          <w:tcPr>
            <w:tcW w:w="7697" w:type="dxa"/>
            <w:vAlign w:val="center"/>
          </w:tcPr>
          <w:p w:rsidR="009057BA" w:rsidRPr="004E095C" w:rsidRDefault="005D1D79" w:rsidP="00A21FFA">
            <w:pPr>
              <w:autoSpaceDE w:val="0"/>
              <w:autoSpaceDN w:val="0"/>
              <w:adjustRightInd w:val="0"/>
              <w:rPr>
                <w:b/>
                <w:bCs/>
                <w:sz w:val="22"/>
                <w:szCs w:val="22"/>
                <w:lang w:val="is-IS" w:eastAsia="is-IS"/>
              </w:rPr>
            </w:pPr>
            <w:r w:rsidRPr="004E095C">
              <w:rPr>
                <w:rFonts w:ascii="TimesNewRoman" w:hAnsi="TimesNewRoman" w:cs="TimesNewRoman"/>
                <w:sz w:val="22"/>
                <w:szCs w:val="22"/>
                <w:lang w:val="is-IS" w:eastAsia="is-IS"/>
              </w:rPr>
              <w:t>Lýsing á aðilum sem taka þátt í útgáfunni og starfsemi þeirra.</w:t>
            </w:r>
          </w:p>
        </w:tc>
      </w:tr>
      <w:tr w:rsidR="009057BA" w:rsidRPr="004E095C" w:rsidTr="004E095C">
        <w:trPr>
          <w:trHeight w:val="333"/>
        </w:trPr>
        <w:tc>
          <w:tcPr>
            <w:tcW w:w="1101" w:type="dxa"/>
          </w:tcPr>
          <w:p w:rsidR="009057BA" w:rsidRPr="004E095C" w:rsidRDefault="009057BA" w:rsidP="00A12814">
            <w:pPr>
              <w:rPr>
                <w:sz w:val="22"/>
                <w:szCs w:val="22"/>
                <w:lang w:val="is-IS"/>
              </w:rPr>
            </w:pPr>
          </w:p>
        </w:tc>
        <w:tc>
          <w:tcPr>
            <w:tcW w:w="850" w:type="dxa"/>
          </w:tcPr>
          <w:p w:rsidR="009057BA" w:rsidRPr="004E095C" w:rsidRDefault="005D1D79" w:rsidP="00A12814">
            <w:pPr>
              <w:rPr>
                <w:b/>
                <w:sz w:val="22"/>
                <w:szCs w:val="22"/>
                <w:lang w:val="is-IS"/>
              </w:rPr>
            </w:pPr>
            <w:r w:rsidRPr="004E095C">
              <w:rPr>
                <w:b/>
                <w:sz w:val="22"/>
                <w:szCs w:val="22"/>
                <w:lang w:val="is-IS"/>
              </w:rPr>
              <w:t>3.3.</w:t>
            </w:r>
          </w:p>
        </w:tc>
        <w:tc>
          <w:tcPr>
            <w:tcW w:w="7697" w:type="dxa"/>
            <w:vAlign w:val="center"/>
          </w:tcPr>
          <w:p w:rsidR="009057BA" w:rsidRPr="004E095C" w:rsidRDefault="005D1D79" w:rsidP="005D1D79">
            <w:pPr>
              <w:autoSpaceDE w:val="0"/>
              <w:autoSpaceDN w:val="0"/>
              <w:adjustRightInd w:val="0"/>
              <w:rPr>
                <w:b/>
                <w:bCs/>
                <w:sz w:val="22"/>
                <w:szCs w:val="22"/>
                <w:lang w:val="is-IS" w:eastAsia="is-IS"/>
              </w:rPr>
            </w:pPr>
            <w:r w:rsidRPr="004E095C">
              <w:rPr>
                <w:rFonts w:ascii="TimesNewRoman" w:hAnsi="TimesNewRoman" w:cs="TimesNewRoman"/>
                <w:sz w:val="22"/>
                <w:szCs w:val="22"/>
                <w:lang w:val="is-IS" w:eastAsia="is-IS"/>
              </w:rPr>
              <w:t>Lýsing á því hvenær og hvaða aðferð er notuð við sölu, yfirfærslu, skuld</w:t>
            </w:r>
            <w:r w:rsidRPr="004E095C">
              <w:rPr>
                <w:rFonts w:ascii="TimesNewRoman" w:hAnsi="TimesNewRoman" w:cs="TimesNewRoman"/>
                <w:sz w:val="22"/>
                <w:szCs w:val="22"/>
                <w:lang w:val="is-IS" w:eastAsia="is-IS"/>
              </w:rPr>
              <w:softHyphen/>
              <w:t>skeytingu eða framsal eigna eða hvers  kyns réttindum og/eða skuldbindingum útgefanda í tengslum við eignirnar eða, eftir atvikum, hvernig og innan hvaða tímabils útgefandi hefur lokið við að fjárfesta fyrir söluandvirðið af útgáfunni.</w:t>
            </w:r>
          </w:p>
        </w:tc>
      </w:tr>
      <w:tr w:rsidR="009057BA" w:rsidRPr="004E095C" w:rsidTr="004E095C">
        <w:trPr>
          <w:trHeight w:val="28"/>
        </w:trPr>
        <w:tc>
          <w:tcPr>
            <w:tcW w:w="1101" w:type="dxa"/>
          </w:tcPr>
          <w:p w:rsidR="009057BA" w:rsidRPr="004E095C" w:rsidRDefault="009057BA" w:rsidP="00A12814">
            <w:pPr>
              <w:rPr>
                <w:sz w:val="22"/>
                <w:szCs w:val="22"/>
                <w:lang w:val="is-IS"/>
              </w:rPr>
            </w:pPr>
          </w:p>
        </w:tc>
        <w:tc>
          <w:tcPr>
            <w:tcW w:w="850" w:type="dxa"/>
          </w:tcPr>
          <w:p w:rsidR="009057BA" w:rsidRPr="004E095C" w:rsidRDefault="008A207A" w:rsidP="00A12814">
            <w:pPr>
              <w:rPr>
                <w:b/>
                <w:sz w:val="22"/>
                <w:szCs w:val="22"/>
                <w:lang w:val="is-IS"/>
              </w:rPr>
            </w:pPr>
            <w:r w:rsidRPr="004E095C">
              <w:rPr>
                <w:b/>
                <w:sz w:val="22"/>
                <w:szCs w:val="22"/>
                <w:lang w:val="is-IS"/>
              </w:rPr>
              <w:t>3.4.</w:t>
            </w:r>
          </w:p>
        </w:tc>
        <w:tc>
          <w:tcPr>
            <w:tcW w:w="7697" w:type="dxa"/>
            <w:vAlign w:val="center"/>
          </w:tcPr>
          <w:p w:rsidR="009057BA" w:rsidRPr="004E095C" w:rsidRDefault="008A207A" w:rsidP="00626012">
            <w:pPr>
              <w:autoSpaceDE w:val="0"/>
              <w:autoSpaceDN w:val="0"/>
              <w:adjustRightInd w:val="0"/>
              <w:rPr>
                <w:b/>
                <w:bCs/>
                <w:sz w:val="22"/>
                <w:szCs w:val="22"/>
                <w:lang w:val="is-IS" w:eastAsia="is-IS"/>
              </w:rPr>
            </w:pPr>
            <w:r w:rsidRPr="004E095C">
              <w:rPr>
                <w:rFonts w:ascii="TimesNewRoman" w:hAnsi="TimesNewRoman" w:cs="TimesNewRoman"/>
                <w:sz w:val="22"/>
                <w:szCs w:val="22"/>
                <w:lang w:val="is-IS" w:eastAsia="is-IS"/>
              </w:rPr>
              <w:t>Skýring á fjármagnsflæði, þ.m.t.:</w:t>
            </w:r>
          </w:p>
        </w:tc>
      </w:tr>
      <w:tr w:rsidR="009057BA" w:rsidRPr="004E095C" w:rsidTr="004E095C">
        <w:trPr>
          <w:trHeight w:val="333"/>
        </w:trPr>
        <w:tc>
          <w:tcPr>
            <w:tcW w:w="1101" w:type="dxa"/>
          </w:tcPr>
          <w:p w:rsidR="009057BA" w:rsidRPr="004E095C" w:rsidRDefault="009057BA" w:rsidP="00A12814">
            <w:pPr>
              <w:rPr>
                <w:sz w:val="22"/>
                <w:szCs w:val="22"/>
                <w:lang w:val="is-IS"/>
              </w:rPr>
            </w:pPr>
          </w:p>
        </w:tc>
        <w:tc>
          <w:tcPr>
            <w:tcW w:w="850" w:type="dxa"/>
          </w:tcPr>
          <w:p w:rsidR="009057BA" w:rsidRPr="004E095C" w:rsidRDefault="008A207A" w:rsidP="00A12814">
            <w:pPr>
              <w:rPr>
                <w:b/>
                <w:sz w:val="22"/>
                <w:szCs w:val="22"/>
                <w:lang w:val="is-IS"/>
              </w:rPr>
            </w:pPr>
            <w:r w:rsidRPr="004E095C">
              <w:rPr>
                <w:b/>
                <w:sz w:val="22"/>
                <w:szCs w:val="22"/>
                <w:lang w:val="is-IS"/>
              </w:rPr>
              <w:t>3.4.1.</w:t>
            </w:r>
          </w:p>
        </w:tc>
        <w:tc>
          <w:tcPr>
            <w:tcW w:w="7697" w:type="dxa"/>
            <w:vAlign w:val="center"/>
          </w:tcPr>
          <w:p w:rsidR="009057BA" w:rsidRPr="004E095C" w:rsidRDefault="008A207A" w:rsidP="008A207A">
            <w:pPr>
              <w:autoSpaceDE w:val="0"/>
              <w:autoSpaceDN w:val="0"/>
              <w:adjustRightInd w:val="0"/>
              <w:rPr>
                <w:b/>
                <w:bCs/>
                <w:sz w:val="22"/>
                <w:szCs w:val="22"/>
                <w:lang w:val="is-IS" w:eastAsia="is-IS"/>
              </w:rPr>
            </w:pPr>
            <w:r w:rsidRPr="004E095C">
              <w:rPr>
                <w:rFonts w:ascii="TimesNewRoman" w:hAnsi="TimesNewRoman" w:cs="TimesNewRoman"/>
                <w:sz w:val="22"/>
                <w:szCs w:val="22"/>
                <w:lang w:val="is-IS" w:eastAsia="is-IS"/>
              </w:rPr>
              <w:t>Hvernig sjóðsstreymi frá eignunum uppfylli skuldbindingar útgefanda gagnvart verðbréfaeigendum þ.m.t. tafla yfir fjármálaþjónustu og lýsing á matinu sem notað er við gerð töflunnar, ef nauðsyn krefur.</w:t>
            </w:r>
          </w:p>
        </w:tc>
      </w:tr>
      <w:tr w:rsidR="009057BA" w:rsidRPr="004E095C" w:rsidTr="004E095C">
        <w:trPr>
          <w:trHeight w:val="310"/>
        </w:trPr>
        <w:tc>
          <w:tcPr>
            <w:tcW w:w="1101" w:type="dxa"/>
          </w:tcPr>
          <w:p w:rsidR="009057BA" w:rsidRPr="004E095C" w:rsidRDefault="009057BA" w:rsidP="00A12814">
            <w:pPr>
              <w:rPr>
                <w:sz w:val="22"/>
                <w:szCs w:val="22"/>
                <w:lang w:val="is-IS"/>
              </w:rPr>
            </w:pPr>
          </w:p>
        </w:tc>
        <w:tc>
          <w:tcPr>
            <w:tcW w:w="850" w:type="dxa"/>
          </w:tcPr>
          <w:p w:rsidR="009057BA" w:rsidRPr="004E095C" w:rsidRDefault="008A207A" w:rsidP="00A12814">
            <w:pPr>
              <w:rPr>
                <w:b/>
                <w:sz w:val="22"/>
                <w:szCs w:val="22"/>
                <w:lang w:val="is-IS"/>
              </w:rPr>
            </w:pPr>
            <w:r w:rsidRPr="004E095C">
              <w:rPr>
                <w:b/>
                <w:sz w:val="22"/>
                <w:szCs w:val="22"/>
                <w:lang w:val="is-IS"/>
              </w:rPr>
              <w:t>3.4.2.</w:t>
            </w:r>
          </w:p>
        </w:tc>
        <w:tc>
          <w:tcPr>
            <w:tcW w:w="7697" w:type="dxa"/>
            <w:vAlign w:val="center"/>
          </w:tcPr>
          <w:p w:rsidR="009057BA" w:rsidRPr="004E095C" w:rsidRDefault="008A207A" w:rsidP="008A207A">
            <w:pPr>
              <w:autoSpaceDE w:val="0"/>
              <w:autoSpaceDN w:val="0"/>
              <w:adjustRightInd w:val="0"/>
              <w:rPr>
                <w:b/>
                <w:bCs/>
                <w:sz w:val="22"/>
                <w:szCs w:val="22"/>
                <w:lang w:val="is-IS" w:eastAsia="is-IS"/>
              </w:rPr>
            </w:pPr>
            <w:r w:rsidRPr="004E095C">
              <w:rPr>
                <w:sz w:val="22"/>
                <w:szCs w:val="22"/>
                <w:lang w:val="is-IS" w:eastAsia="is-IS"/>
              </w:rPr>
              <w:t>Upplýsingar um alla þætti sem er ætlað að bæta greiðsluöryggi skuldarinnar og upplýsingar um það hvort veruleg hætta sé á greiðslufalli, hvort unnt sé að fá lausafjáraðstoð, ásamt upplýsingum um ráðstafanir sem ætlað er að ná yfir hættu á greiðslufalli vegna vaxtagreiðslna eða greiðslna af höfuðstóli.</w:t>
            </w:r>
          </w:p>
        </w:tc>
      </w:tr>
      <w:tr w:rsidR="006F1AA6" w:rsidRPr="004E095C" w:rsidTr="004E095C">
        <w:trPr>
          <w:trHeight w:val="28"/>
        </w:trPr>
        <w:tc>
          <w:tcPr>
            <w:tcW w:w="1101" w:type="dxa"/>
          </w:tcPr>
          <w:p w:rsidR="006F1AA6" w:rsidRPr="004E095C" w:rsidRDefault="006F1AA6" w:rsidP="00A12814">
            <w:pPr>
              <w:rPr>
                <w:sz w:val="22"/>
                <w:szCs w:val="22"/>
                <w:lang w:val="is-IS"/>
              </w:rPr>
            </w:pPr>
          </w:p>
        </w:tc>
        <w:tc>
          <w:tcPr>
            <w:tcW w:w="850" w:type="dxa"/>
          </w:tcPr>
          <w:p w:rsidR="006F1AA6" w:rsidRPr="004E095C" w:rsidRDefault="006F1AA6" w:rsidP="00A12814">
            <w:pPr>
              <w:rPr>
                <w:b/>
                <w:sz w:val="22"/>
                <w:szCs w:val="22"/>
                <w:lang w:val="is-IS"/>
              </w:rPr>
            </w:pPr>
            <w:r w:rsidRPr="004E095C">
              <w:rPr>
                <w:b/>
                <w:sz w:val="22"/>
                <w:szCs w:val="22"/>
                <w:lang w:val="is-IS"/>
              </w:rPr>
              <w:t>3.4.3.</w:t>
            </w:r>
          </w:p>
        </w:tc>
        <w:tc>
          <w:tcPr>
            <w:tcW w:w="7697" w:type="dxa"/>
            <w:vAlign w:val="center"/>
          </w:tcPr>
          <w:p w:rsidR="006F1AA6" w:rsidRPr="004E095C" w:rsidRDefault="006F1AA6" w:rsidP="008A207A">
            <w:pPr>
              <w:autoSpaceDE w:val="0"/>
              <w:autoSpaceDN w:val="0"/>
              <w:adjustRightInd w:val="0"/>
              <w:rPr>
                <w:sz w:val="22"/>
                <w:szCs w:val="22"/>
                <w:lang w:val="is-IS" w:eastAsia="is-IS"/>
              </w:rPr>
            </w:pPr>
            <w:r w:rsidRPr="004E095C">
              <w:rPr>
                <w:sz w:val="22"/>
                <w:szCs w:val="22"/>
                <w:lang w:val="is-IS" w:eastAsia="is-IS"/>
              </w:rPr>
              <w:t>Með fyrirvara um lið 3.4.2 skal gefa ítarlegar upplýsingar um víkjandi lánsfjármögnun.</w:t>
            </w:r>
          </w:p>
        </w:tc>
      </w:tr>
      <w:tr w:rsidR="006F1AA6" w:rsidRPr="004E095C" w:rsidTr="004E095C">
        <w:trPr>
          <w:trHeight w:val="333"/>
        </w:trPr>
        <w:tc>
          <w:tcPr>
            <w:tcW w:w="1101" w:type="dxa"/>
          </w:tcPr>
          <w:p w:rsidR="006F1AA6" w:rsidRPr="004E095C" w:rsidRDefault="006F1AA6" w:rsidP="00A12814">
            <w:pPr>
              <w:rPr>
                <w:sz w:val="22"/>
                <w:szCs w:val="22"/>
                <w:lang w:val="is-IS"/>
              </w:rPr>
            </w:pPr>
          </w:p>
        </w:tc>
        <w:tc>
          <w:tcPr>
            <w:tcW w:w="850" w:type="dxa"/>
          </w:tcPr>
          <w:p w:rsidR="006F1AA6" w:rsidRPr="004E095C" w:rsidRDefault="006F1AA6" w:rsidP="00A12814">
            <w:pPr>
              <w:rPr>
                <w:b/>
                <w:sz w:val="22"/>
                <w:szCs w:val="22"/>
                <w:lang w:val="is-IS"/>
              </w:rPr>
            </w:pPr>
            <w:r w:rsidRPr="004E095C">
              <w:rPr>
                <w:b/>
                <w:sz w:val="22"/>
                <w:szCs w:val="22"/>
                <w:lang w:val="is-IS"/>
              </w:rPr>
              <w:t>3.4.4.</w:t>
            </w:r>
          </w:p>
        </w:tc>
        <w:tc>
          <w:tcPr>
            <w:tcW w:w="7697" w:type="dxa"/>
            <w:vAlign w:val="center"/>
          </w:tcPr>
          <w:p w:rsidR="006F1AA6" w:rsidRPr="004E095C" w:rsidRDefault="006F1AA6" w:rsidP="006F1AA6">
            <w:pPr>
              <w:autoSpaceDE w:val="0"/>
              <w:autoSpaceDN w:val="0"/>
              <w:adjustRightInd w:val="0"/>
              <w:rPr>
                <w:sz w:val="22"/>
                <w:szCs w:val="22"/>
                <w:lang w:val="is-IS" w:eastAsia="is-IS"/>
              </w:rPr>
            </w:pPr>
            <w:r w:rsidRPr="004E095C">
              <w:rPr>
                <w:sz w:val="22"/>
                <w:szCs w:val="22"/>
                <w:lang w:val="is-IS" w:eastAsia="is-IS"/>
              </w:rPr>
              <w:t>Upplýsingar um hvers kyns mælikvarða sem eru notaðir við fjárfestingu tímabundins umframlausafjár og lýsing á þeim aðilum sem eru ábyrgir fyrir slíkum fjárfestingum.</w:t>
            </w:r>
          </w:p>
        </w:tc>
      </w:tr>
      <w:tr w:rsidR="006F1AA6" w:rsidRPr="004E095C" w:rsidTr="004E095C">
        <w:trPr>
          <w:trHeight w:val="63"/>
        </w:trPr>
        <w:tc>
          <w:tcPr>
            <w:tcW w:w="1101" w:type="dxa"/>
          </w:tcPr>
          <w:p w:rsidR="006F1AA6" w:rsidRPr="004E095C" w:rsidRDefault="006F1AA6" w:rsidP="00A12814">
            <w:pPr>
              <w:rPr>
                <w:sz w:val="22"/>
                <w:szCs w:val="22"/>
                <w:lang w:val="is-IS"/>
              </w:rPr>
            </w:pPr>
          </w:p>
        </w:tc>
        <w:tc>
          <w:tcPr>
            <w:tcW w:w="850" w:type="dxa"/>
          </w:tcPr>
          <w:p w:rsidR="006F1AA6" w:rsidRPr="004E095C" w:rsidRDefault="006F1AA6" w:rsidP="00A12814">
            <w:pPr>
              <w:rPr>
                <w:b/>
                <w:sz w:val="22"/>
                <w:szCs w:val="22"/>
                <w:lang w:val="is-IS"/>
              </w:rPr>
            </w:pPr>
            <w:r w:rsidRPr="004E095C">
              <w:rPr>
                <w:b/>
                <w:sz w:val="22"/>
                <w:szCs w:val="22"/>
                <w:lang w:val="is-IS"/>
              </w:rPr>
              <w:t>3.4.5.</w:t>
            </w:r>
          </w:p>
        </w:tc>
        <w:tc>
          <w:tcPr>
            <w:tcW w:w="7697" w:type="dxa"/>
            <w:vAlign w:val="center"/>
          </w:tcPr>
          <w:p w:rsidR="006F1AA6" w:rsidRPr="004E095C" w:rsidRDefault="006F1AA6" w:rsidP="006F1AA6">
            <w:pPr>
              <w:autoSpaceDE w:val="0"/>
              <w:autoSpaceDN w:val="0"/>
              <w:adjustRightInd w:val="0"/>
              <w:rPr>
                <w:sz w:val="22"/>
                <w:szCs w:val="22"/>
                <w:lang w:val="is-IS" w:eastAsia="is-IS"/>
              </w:rPr>
            </w:pPr>
            <w:r w:rsidRPr="004E095C">
              <w:rPr>
                <w:sz w:val="22"/>
                <w:szCs w:val="22"/>
                <w:lang w:val="is-IS" w:eastAsia="is-IS"/>
              </w:rPr>
              <w:t>Hvernig greiðslur vegna eignanna eru innheimtar.</w:t>
            </w:r>
          </w:p>
        </w:tc>
      </w:tr>
      <w:tr w:rsidR="006F1AA6" w:rsidRPr="004E095C" w:rsidTr="004E095C">
        <w:trPr>
          <w:trHeight w:val="28"/>
        </w:trPr>
        <w:tc>
          <w:tcPr>
            <w:tcW w:w="1101" w:type="dxa"/>
          </w:tcPr>
          <w:p w:rsidR="006F1AA6" w:rsidRPr="004E095C" w:rsidRDefault="006F1AA6" w:rsidP="00A12814">
            <w:pPr>
              <w:rPr>
                <w:sz w:val="22"/>
                <w:szCs w:val="22"/>
                <w:lang w:val="is-IS"/>
              </w:rPr>
            </w:pPr>
          </w:p>
        </w:tc>
        <w:tc>
          <w:tcPr>
            <w:tcW w:w="850" w:type="dxa"/>
          </w:tcPr>
          <w:p w:rsidR="006F1AA6" w:rsidRPr="004E095C" w:rsidRDefault="006F1AA6" w:rsidP="00A12814">
            <w:pPr>
              <w:rPr>
                <w:b/>
                <w:sz w:val="22"/>
                <w:szCs w:val="22"/>
                <w:lang w:val="is-IS"/>
              </w:rPr>
            </w:pPr>
            <w:r w:rsidRPr="004E095C">
              <w:rPr>
                <w:b/>
                <w:sz w:val="22"/>
                <w:szCs w:val="22"/>
                <w:lang w:val="is-IS"/>
              </w:rPr>
              <w:t>3.4.6.</w:t>
            </w:r>
          </w:p>
        </w:tc>
        <w:tc>
          <w:tcPr>
            <w:tcW w:w="7697" w:type="dxa"/>
            <w:vAlign w:val="center"/>
          </w:tcPr>
          <w:p w:rsidR="006F1AA6" w:rsidRPr="004E095C" w:rsidRDefault="006F1AA6" w:rsidP="006F1AA6">
            <w:pPr>
              <w:autoSpaceDE w:val="0"/>
              <w:autoSpaceDN w:val="0"/>
              <w:adjustRightInd w:val="0"/>
              <w:rPr>
                <w:sz w:val="22"/>
                <w:szCs w:val="22"/>
                <w:lang w:val="is-IS" w:eastAsia="is-IS"/>
              </w:rPr>
            </w:pPr>
            <w:r w:rsidRPr="004E095C">
              <w:rPr>
                <w:sz w:val="22"/>
                <w:szCs w:val="22"/>
                <w:lang w:val="is-IS" w:eastAsia="is-IS"/>
              </w:rPr>
              <w:t>Forgangsröð greiðslna frá útgefanda til eigenda viðkomandi verðbréfaflokks.</w:t>
            </w:r>
          </w:p>
        </w:tc>
      </w:tr>
      <w:tr w:rsidR="006F1AA6" w:rsidRPr="004E095C" w:rsidTr="004E095C">
        <w:trPr>
          <w:trHeight w:val="333"/>
        </w:trPr>
        <w:tc>
          <w:tcPr>
            <w:tcW w:w="1101" w:type="dxa"/>
          </w:tcPr>
          <w:p w:rsidR="006F1AA6" w:rsidRPr="004E095C" w:rsidRDefault="006F1AA6" w:rsidP="00A12814">
            <w:pPr>
              <w:rPr>
                <w:sz w:val="22"/>
                <w:szCs w:val="22"/>
                <w:lang w:val="is-IS"/>
              </w:rPr>
            </w:pPr>
          </w:p>
        </w:tc>
        <w:tc>
          <w:tcPr>
            <w:tcW w:w="850" w:type="dxa"/>
          </w:tcPr>
          <w:p w:rsidR="006F1AA6" w:rsidRPr="004E095C" w:rsidRDefault="006F1AA6" w:rsidP="00A12814">
            <w:pPr>
              <w:rPr>
                <w:b/>
                <w:sz w:val="22"/>
                <w:szCs w:val="22"/>
                <w:lang w:val="is-IS"/>
              </w:rPr>
            </w:pPr>
            <w:r w:rsidRPr="004E095C">
              <w:rPr>
                <w:b/>
                <w:sz w:val="22"/>
                <w:szCs w:val="22"/>
                <w:lang w:val="is-IS"/>
              </w:rPr>
              <w:t>3.4.7.</w:t>
            </w:r>
          </w:p>
        </w:tc>
        <w:tc>
          <w:tcPr>
            <w:tcW w:w="7697" w:type="dxa"/>
            <w:vAlign w:val="center"/>
          </w:tcPr>
          <w:p w:rsidR="006F1AA6" w:rsidRPr="004E095C" w:rsidRDefault="006F1AA6" w:rsidP="006F1AA6">
            <w:pPr>
              <w:autoSpaceDE w:val="0"/>
              <w:autoSpaceDN w:val="0"/>
              <w:adjustRightInd w:val="0"/>
              <w:rPr>
                <w:sz w:val="22"/>
                <w:szCs w:val="22"/>
                <w:lang w:val="is-IS" w:eastAsia="is-IS"/>
              </w:rPr>
            </w:pPr>
            <w:r w:rsidRPr="004E095C">
              <w:rPr>
                <w:sz w:val="22"/>
                <w:szCs w:val="22"/>
                <w:lang w:val="is-IS" w:eastAsia="is-IS"/>
              </w:rPr>
              <w:t>Ítarlegar upplýsingar um hvers kyns annað fyrirkomulag sem vaxtagreiðslur og greiðslur af höfuðstól eru háðar.</w:t>
            </w:r>
          </w:p>
        </w:tc>
      </w:tr>
      <w:tr w:rsidR="006F1AA6" w:rsidRPr="004E095C" w:rsidTr="004E095C">
        <w:trPr>
          <w:trHeight w:val="333"/>
        </w:trPr>
        <w:tc>
          <w:tcPr>
            <w:tcW w:w="1101" w:type="dxa"/>
          </w:tcPr>
          <w:p w:rsidR="006F1AA6" w:rsidRPr="004E095C" w:rsidRDefault="006F1AA6" w:rsidP="00A12814">
            <w:pPr>
              <w:rPr>
                <w:sz w:val="22"/>
                <w:szCs w:val="22"/>
                <w:lang w:val="is-IS"/>
              </w:rPr>
            </w:pPr>
          </w:p>
        </w:tc>
        <w:tc>
          <w:tcPr>
            <w:tcW w:w="850" w:type="dxa"/>
          </w:tcPr>
          <w:p w:rsidR="006F1AA6" w:rsidRPr="004E095C" w:rsidRDefault="006F1AA6" w:rsidP="00A12814">
            <w:pPr>
              <w:rPr>
                <w:b/>
                <w:sz w:val="22"/>
                <w:szCs w:val="22"/>
                <w:lang w:val="is-IS"/>
              </w:rPr>
            </w:pPr>
            <w:r w:rsidRPr="004E095C">
              <w:rPr>
                <w:b/>
                <w:sz w:val="22"/>
                <w:szCs w:val="22"/>
                <w:lang w:val="is-IS"/>
              </w:rPr>
              <w:t>3.5.</w:t>
            </w:r>
          </w:p>
        </w:tc>
        <w:tc>
          <w:tcPr>
            <w:tcW w:w="7697" w:type="dxa"/>
            <w:vAlign w:val="center"/>
          </w:tcPr>
          <w:p w:rsidR="006F1AA6" w:rsidRPr="004E095C" w:rsidRDefault="006F1AA6" w:rsidP="006F1AA6">
            <w:pPr>
              <w:autoSpaceDE w:val="0"/>
              <w:autoSpaceDN w:val="0"/>
              <w:adjustRightInd w:val="0"/>
              <w:rPr>
                <w:sz w:val="22"/>
                <w:szCs w:val="22"/>
                <w:lang w:val="is-IS" w:eastAsia="is-IS"/>
              </w:rPr>
            </w:pPr>
            <w:r w:rsidRPr="004E095C">
              <w:rPr>
                <w:sz w:val="22"/>
                <w:szCs w:val="22"/>
                <w:lang w:val="is-IS" w:eastAsia="is-IS"/>
              </w:rPr>
              <w:t xml:space="preserve">Upplýsingar um nafn, heimilisfang og mikilvæga viðskiptastarfsemi þeirra sem eru upphafsaðilar að </w:t>
            </w:r>
            <w:proofErr w:type="spellStart"/>
            <w:r w:rsidRPr="004E095C">
              <w:rPr>
                <w:sz w:val="22"/>
                <w:szCs w:val="22"/>
                <w:lang w:val="is-IS" w:eastAsia="is-IS"/>
              </w:rPr>
              <w:t>verðbréfun</w:t>
            </w:r>
            <w:proofErr w:type="spellEnd"/>
            <w:r w:rsidRPr="004E095C">
              <w:rPr>
                <w:sz w:val="22"/>
                <w:szCs w:val="22"/>
                <w:lang w:val="is-IS" w:eastAsia="is-IS"/>
              </w:rPr>
              <w:t xml:space="preserve"> eigna (</w:t>
            </w:r>
            <w:proofErr w:type="spellStart"/>
            <w:r w:rsidRPr="004E095C">
              <w:rPr>
                <w:sz w:val="22"/>
                <w:szCs w:val="22"/>
                <w:lang w:val="is-IS" w:eastAsia="is-IS"/>
              </w:rPr>
              <w:t>originators</w:t>
            </w:r>
            <w:proofErr w:type="spellEnd"/>
            <w:r w:rsidRPr="004E095C">
              <w:rPr>
                <w:sz w:val="22"/>
                <w:szCs w:val="22"/>
                <w:lang w:val="is-IS" w:eastAsia="is-IS"/>
              </w:rPr>
              <w:t xml:space="preserve"> of </w:t>
            </w:r>
            <w:proofErr w:type="spellStart"/>
            <w:r w:rsidRPr="004E095C">
              <w:rPr>
                <w:sz w:val="22"/>
                <w:szCs w:val="22"/>
                <w:lang w:val="is-IS" w:eastAsia="is-IS"/>
              </w:rPr>
              <w:t>the</w:t>
            </w:r>
            <w:proofErr w:type="spellEnd"/>
            <w:r w:rsidRPr="004E095C">
              <w:rPr>
                <w:sz w:val="22"/>
                <w:szCs w:val="22"/>
                <w:lang w:val="is-IS" w:eastAsia="is-IS"/>
              </w:rPr>
              <w:t xml:space="preserve"> </w:t>
            </w:r>
            <w:proofErr w:type="spellStart"/>
            <w:r w:rsidRPr="004E095C">
              <w:rPr>
                <w:sz w:val="22"/>
                <w:szCs w:val="22"/>
                <w:lang w:val="is-IS" w:eastAsia="is-IS"/>
              </w:rPr>
              <w:t>securitised</w:t>
            </w:r>
            <w:proofErr w:type="spellEnd"/>
            <w:r w:rsidRPr="004E095C">
              <w:rPr>
                <w:sz w:val="22"/>
                <w:szCs w:val="22"/>
                <w:lang w:val="is-IS" w:eastAsia="is-IS"/>
              </w:rPr>
              <w:t xml:space="preserve"> </w:t>
            </w:r>
            <w:proofErr w:type="spellStart"/>
            <w:r w:rsidRPr="004E095C">
              <w:rPr>
                <w:sz w:val="22"/>
                <w:szCs w:val="22"/>
                <w:lang w:val="is-IS" w:eastAsia="is-IS"/>
              </w:rPr>
              <w:t>assets</w:t>
            </w:r>
            <w:proofErr w:type="spellEnd"/>
            <w:r w:rsidRPr="004E095C">
              <w:rPr>
                <w:sz w:val="22"/>
                <w:szCs w:val="22"/>
                <w:lang w:val="is-IS" w:eastAsia="is-IS"/>
              </w:rPr>
              <w:t>).</w:t>
            </w:r>
          </w:p>
        </w:tc>
      </w:tr>
      <w:tr w:rsidR="006F1AA6" w:rsidRPr="004E095C" w:rsidTr="004E095C">
        <w:trPr>
          <w:trHeight w:val="333"/>
        </w:trPr>
        <w:tc>
          <w:tcPr>
            <w:tcW w:w="1101" w:type="dxa"/>
          </w:tcPr>
          <w:p w:rsidR="006F1AA6" w:rsidRPr="004E095C" w:rsidRDefault="006F1AA6" w:rsidP="00A12814">
            <w:pPr>
              <w:rPr>
                <w:sz w:val="22"/>
                <w:szCs w:val="22"/>
                <w:lang w:val="is-IS"/>
              </w:rPr>
            </w:pPr>
          </w:p>
        </w:tc>
        <w:tc>
          <w:tcPr>
            <w:tcW w:w="850" w:type="dxa"/>
          </w:tcPr>
          <w:p w:rsidR="006F1AA6" w:rsidRPr="004E095C" w:rsidRDefault="006F1AA6" w:rsidP="00A12814">
            <w:pPr>
              <w:rPr>
                <w:b/>
                <w:sz w:val="22"/>
                <w:szCs w:val="22"/>
                <w:lang w:val="is-IS"/>
              </w:rPr>
            </w:pPr>
            <w:r w:rsidRPr="004E095C">
              <w:rPr>
                <w:b/>
                <w:sz w:val="22"/>
                <w:szCs w:val="22"/>
                <w:lang w:val="is-IS"/>
              </w:rPr>
              <w:t>3.6.</w:t>
            </w:r>
          </w:p>
        </w:tc>
        <w:tc>
          <w:tcPr>
            <w:tcW w:w="7697" w:type="dxa"/>
            <w:vAlign w:val="center"/>
          </w:tcPr>
          <w:p w:rsidR="006F1AA6" w:rsidRPr="004E095C" w:rsidRDefault="006F1AA6" w:rsidP="006F1AA6">
            <w:pPr>
              <w:autoSpaceDE w:val="0"/>
              <w:autoSpaceDN w:val="0"/>
              <w:adjustRightInd w:val="0"/>
              <w:rPr>
                <w:sz w:val="22"/>
                <w:szCs w:val="22"/>
                <w:lang w:val="is-IS" w:eastAsia="is-IS"/>
              </w:rPr>
            </w:pPr>
            <w:r w:rsidRPr="004E095C">
              <w:rPr>
                <w:sz w:val="22"/>
                <w:szCs w:val="22"/>
                <w:lang w:val="is-IS" w:eastAsia="is-IS"/>
              </w:rPr>
              <w:t>Ef arður og/eða endurgreiðsla verðbréfanna tengist verðþróun eða verðgildi annarra eigna, sem eru ekki í eigu útgefandans, eru liðir 2.2 og 2.3 nauðsynlegir.</w:t>
            </w:r>
          </w:p>
        </w:tc>
      </w:tr>
      <w:tr w:rsidR="006F1AA6" w:rsidRPr="004E095C" w:rsidTr="004E095C">
        <w:trPr>
          <w:trHeight w:val="333"/>
        </w:trPr>
        <w:tc>
          <w:tcPr>
            <w:tcW w:w="1101" w:type="dxa"/>
          </w:tcPr>
          <w:p w:rsidR="006F1AA6" w:rsidRPr="004E095C" w:rsidRDefault="006F1AA6" w:rsidP="00A12814">
            <w:pPr>
              <w:rPr>
                <w:sz w:val="22"/>
                <w:szCs w:val="22"/>
                <w:lang w:val="is-IS"/>
              </w:rPr>
            </w:pPr>
          </w:p>
        </w:tc>
        <w:tc>
          <w:tcPr>
            <w:tcW w:w="850" w:type="dxa"/>
          </w:tcPr>
          <w:p w:rsidR="006F1AA6" w:rsidRPr="004E095C" w:rsidRDefault="006F1AA6" w:rsidP="00A12814">
            <w:pPr>
              <w:rPr>
                <w:b/>
                <w:sz w:val="22"/>
                <w:szCs w:val="22"/>
                <w:lang w:val="is-IS"/>
              </w:rPr>
            </w:pPr>
            <w:r w:rsidRPr="004E095C">
              <w:rPr>
                <w:b/>
                <w:sz w:val="22"/>
                <w:szCs w:val="22"/>
                <w:lang w:val="is-IS"/>
              </w:rPr>
              <w:t>3.7.</w:t>
            </w:r>
          </w:p>
        </w:tc>
        <w:tc>
          <w:tcPr>
            <w:tcW w:w="7697" w:type="dxa"/>
            <w:vAlign w:val="center"/>
          </w:tcPr>
          <w:p w:rsidR="006F1AA6" w:rsidRPr="004E095C" w:rsidRDefault="006F1AA6" w:rsidP="006F1AA6">
            <w:pPr>
              <w:autoSpaceDE w:val="0"/>
              <w:autoSpaceDN w:val="0"/>
              <w:adjustRightInd w:val="0"/>
              <w:rPr>
                <w:sz w:val="22"/>
                <w:szCs w:val="22"/>
                <w:lang w:val="is-IS" w:eastAsia="is-IS"/>
              </w:rPr>
            </w:pPr>
            <w:r w:rsidRPr="004E095C">
              <w:rPr>
                <w:sz w:val="22"/>
                <w:szCs w:val="22"/>
                <w:lang w:val="is-IS" w:eastAsia="is-IS"/>
              </w:rPr>
              <w:t>Upplýsingar um nafn og mikilvæga viðskiptastarfsemi stjórnandans, aðila sem sér um útreikning eða sambærilegra aðila ásamt samantekt á ábyrgð þessara aðila, tengsl þeirra við upphafsmann eða stofnanda eignanna og samantekt á ákvæðum sem snerta uppsögn stjórnanda/aðila sem sér um útreikning og tilnefningu annars stjórnanda/aðila sem sér um útreikning.</w:t>
            </w:r>
          </w:p>
        </w:tc>
      </w:tr>
      <w:tr w:rsidR="006F1AA6" w:rsidRPr="004E095C" w:rsidTr="004E095C">
        <w:trPr>
          <w:trHeight w:val="333"/>
        </w:trPr>
        <w:tc>
          <w:tcPr>
            <w:tcW w:w="1101" w:type="dxa"/>
          </w:tcPr>
          <w:p w:rsidR="006F1AA6" w:rsidRPr="004E095C" w:rsidRDefault="006F1AA6" w:rsidP="00A12814">
            <w:pPr>
              <w:rPr>
                <w:sz w:val="22"/>
                <w:szCs w:val="22"/>
                <w:lang w:val="is-IS"/>
              </w:rPr>
            </w:pPr>
          </w:p>
        </w:tc>
        <w:tc>
          <w:tcPr>
            <w:tcW w:w="850" w:type="dxa"/>
          </w:tcPr>
          <w:p w:rsidR="006F1AA6" w:rsidRPr="004E095C" w:rsidRDefault="006F1AA6" w:rsidP="00A12814">
            <w:pPr>
              <w:rPr>
                <w:b/>
                <w:sz w:val="22"/>
                <w:szCs w:val="22"/>
                <w:lang w:val="is-IS"/>
              </w:rPr>
            </w:pPr>
            <w:r w:rsidRPr="004E095C">
              <w:rPr>
                <w:b/>
                <w:sz w:val="22"/>
                <w:szCs w:val="22"/>
                <w:lang w:val="is-IS"/>
              </w:rPr>
              <w:t>3.8.</w:t>
            </w:r>
          </w:p>
        </w:tc>
        <w:tc>
          <w:tcPr>
            <w:tcW w:w="7697" w:type="dxa"/>
            <w:vAlign w:val="center"/>
          </w:tcPr>
          <w:p w:rsidR="006F1AA6" w:rsidRDefault="006F1AA6" w:rsidP="006F1AA6">
            <w:pPr>
              <w:autoSpaceDE w:val="0"/>
              <w:autoSpaceDN w:val="0"/>
              <w:adjustRightInd w:val="0"/>
              <w:rPr>
                <w:sz w:val="22"/>
                <w:szCs w:val="22"/>
                <w:lang w:val="is-IS" w:eastAsia="is-IS"/>
              </w:rPr>
            </w:pPr>
            <w:r w:rsidRPr="004E095C">
              <w:rPr>
                <w:sz w:val="22"/>
                <w:szCs w:val="22"/>
                <w:lang w:val="is-IS" w:eastAsia="is-IS"/>
              </w:rPr>
              <w:t>Nöfn, heimilisföng og stutt lýsing á:</w:t>
            </w:r>
          </w:p>
          <w:p w:rsidR="004E095C" w:rsidRPr="004E095C" w:rsidRDefault="004E095C" w:rsidP="006F1AA6">
            <w:pPr>
              <w:autoSpaceDE w:val="0"/>
              <w:autoSpaceDN w:val="0"/>
              <w:adjustRightInd w:val="0"/>
              <w:rPr>
                <w:sz w:val="22"/>
                <w:szCs w:val="22"/>
                <w:lang w:val="is-IS" w:eastAsia="is-IS"/>
              </w:rPr>
            </w:pPr>
          </w:p>
          <w:p w:rsidR="006F1AA6" w:rsidRDefault="006F1AA6" w:rsidP="006F1AA6">
            <w:pPr>
              <w:pStyle w:val="ListParagraph"/>
              <w:numPr>
                <w:ilvl w:val="0"/>
                <w:numId w:val="20"/>
              </w:numPr>
              <w:autoSpaceDE w:val="0"/>
              <w:autoSpaceDN w:val="0"/>
              <w:adjustRightInd w:val="0"/>
              <w:rPr>
                <w:sz w:val="22"/>
                <w:szCs w:val="22"/>
                <w:lang w:val="is-IS" w:eastAsia="is-IS"/>
              </w:rPr>
            </w:pPr>
            <w:r w:rsidRPr="004E095C">
              <w:rPr>
                <w:sz w:val="22"/>
                <w:szCs w:val="22"/>
                <w:lang w:val="is-IS" w:eastAsia="is-IS"/>
              </w:rPr>
              <w:t>Öðrum mótaðilum í skiptasamningi og aðilum sem sjá um aðra mikilvæga möguleika sem snerta þætti sem er ætlað að bæta greiðsluöryggi skuldar og/eða aukið lausafé og</w:t>
            </w:r>
          </w:p>
          <w:p w:rsidR="004E095C" w:rsidRPr="004E095C" w:rsidRDefault="004E095C" w:rsidP="004E095C">
            <w:pPr>
              <w:pStyle w:val="ListParagraph"/>
              <w:autoSpaceDE w:val="0"/>
              <w:autoSpaceDN w:val="0"/>
              <w:adjustRightInd w:val="0"/>
              <w:rPr>
                <w:sz w:val="22"/>
                <w:szCs w:val="22"/>
                <w:lang w:val="is-IS" w:eastAsia="is-IS"/>
              </w:rPr>
            </w:pPr>
          </w:p>
          <w:p w:rsidR="006F1AA6" w:rsidRPr="004E095C" w:rsidRDefault="006F1AA6" w:rsidP="006F1AA6">
            <w:pPr>
              <w:pStyle w:val="ListParagraph"/>
              <w:numPr>
                <w:ilvl w:val="0"/>
                <w:numId w:val="20"/>
              </w:numPr>
              <w:autoSpaceDE w:val="0"/>
              <w:autoSpaceDN w:val="0"/>
              <w:adjustRightInd w:val="0"/>
              <w:rPr>
                <w:sz w:val="22"/>
                <w:szCs w:val="22"/>
                <w:lang w:val="is-IS" w:eastAsia="is-IS"/>
              </w:rPr>
            </w:pPr>
            <w:r w:rsidRPr="004E095C">
              <w:rPr>
                <w:sz w:val="22"/>
                <w:szCs w:val="22"/>
                <w:lang w:val="is-IS" w:eastAsia="is-IS"/>
              </w:rPr>
              <w:t>bönkum þar sem er að finna aðalreikningana sem tengjast viðskiptunum.</w:t>
            </w:r>
          </w:p>
        </w:tc>
      </w:tr>
      <w:tr w:rsidR="00590EEB" w:rsidRPr="004E095C" w:rsidTr="004E095C">
        <w:trPr>
          <w:trHeight w:val="28"/>
        </w:trPr>
        <w:tc>
          <w:tcPr>
            <w:tcW w:w="1101" w:type="dxa"/>
          </w:tcPr>
          <w:p w:rsidR="00590EEB" w:rsidRPr="004E095C" w:rsidRDefault="00590EEB" w:rsidP="00A12814">
            <w:pPr>
              <w:rPr>
                <w:sz w:val="22"/>
                <w:szCs w:val="22"/>
                <w:lang w:val="is-IS"/>
              </w:rPr>
            </w:pPr>
          </w:p>
        </w:tc>
        <w:tc>
          <w:tcPr>
            <w:tcW w:w="850" w:type="dxa"/>
          </w:tcPr>
          <w:p w:rsidR="00590EEB" w:rsidRPr="004E095C" w:rsidRDefault="00590EEB" w:rsidP="00A12814">
            <w:pPr>
              <w:rPr>
                <w:b/>
                <w:sz w:val="22"/>
                <w:szCs w:val="22"/>
                <w:lang w:val="is-IS"/>
              </w:rPr>
            </w:pPr>
            <w:r w:rsidRPr="004E095C">
              <w:rPr>
                <w:b/>
                <w:sz w:val="22"/>
                <w:szCs w:val="22"/>
                <w:lang w:val="is-IS"/>
              </w:rPr>
              <w:t>4.</w:t>
            </w:r>
          </w:p>
        </w:tc>
        <w:tc>
          <w:tcPr>
            <w:tcW w:w="7697" w:type="dxa"/>
            <w:vAlign w:val="center"/>
          </w:tcPr>
          <w:p w:rsidR="00590EEB" w:rsidRPr="004E095C" w:rsidRDefault="00590EEB" w:rsidP="006F1AA6">
            <w:pPr>
              <w:autoSpaceDE w:val="0"/>
              <w:autoSpaceDN w:val="0"/>
              <w:adjustRightInd w:val="0"/>
              <w:rPr>
                <w:sz w:val="22"/>
                <w:szCs w:val="22"/>
                <w:lang w:val="is-IS" w:eastAsia="is-IS"/>
              </w:rPr>
            </w:pPr>
            <w:r w:rsidRPr="004E095C">
              <w:rPr>
                <w:rFonts w:ascii="TimesNewRoman,Bold" w:hAnsi="TimesNewRoman,Bold" w:cs="TimesNewRoman,Bold"/>
                <w:b/>
                <w:bCs/>
                <w:sz w:val="22"/>
                <w:szCs w:val="22"/>
                <w:lang w:val="is-IS" w:eastAsia="is-IS"/>
              </w:rPr>
              <w:t>SKÝRSLUGJÖF AÐ LOKINNI ÚTGÁFU</w:t>
            </w:r>
          </w:p>
        </w:tc>
      </w:tr>
      <w:tr w:rsidR="00590EEB" w:rsidRPr="004E095C" w:rsidTr="004E095C">
        <w:trPr>
          <w:trHeight w:val="1042"/>
        </w:trPr>
        <w:tc>
          <w:tcPr>
            <w:tcW w:w="1101" w:type="dxa"/>
          </w:tcPr>
          <w:p w:rsidR="00590EEB" w:rsidRPr="004E095C" w:rsidRDefault="00590EEB" w:rsidP="00A12814">
            <w:pPr>
              <w:rPr>
                <w:sz w:val="22"/>
                <w:szCs w:val="22"/>
                <w:lang w:val="is-IS"/>
              </w:rPr>
            </w:pPr>
          </w:p>
        </w:tc>
        <w:tc>
          <w:tcPr>
            <w:tcW w:w="850" w:type="dxa"/>
          </w:tcPr>
          <w:p w:rsidR="00590EEB" w:rsidRPr="004E095C" w:rsidRDefault="00590EEB" w:rsidP="00A12814">
            <w:pPr>
              <w:rPr>
                <w:b/>
                <w:sz w:val="22"/>
                <w:szCs w:val="22"/>
                <w:lang w:val="is-IS"/>
              </w:rPr>
            </w:pPr>
            <w:r w:rsidRPr="004E095C">
              <w:rPr>
                <w:b/>
                <w:sz w:val="22"/>
                <w:szCs w:val="22"/>
                <w:lang w:val="is-IS"/>
              </w:rPr>
              <w:t>4.1.</w:t>
            </w:r>
          </w:p>
        </w:tc>
        <w:tc>
          <w:tcPr>
            <w:tcW w:w="7697" w:type="dxa"/>
            <w:vAlign w:val="center"/>
          </w:tcPr>
          <w:p w:rsidR="00590EEB" w:rsidRPr="004E095C" w:rsidRDefault="00590EEB" w:rsidP="00590EEB">
            <w:pPr>
              <w:autoSpaceDE w:val="0"/>
              <w:autoSpaceDN w:val="0"/>
              <w:adjustRightInd w:val="0"/>
              <w:rPr>
                <w:rFonts w:ascii="TimesNewRoman,Bold" w:hAnsi="TimesNewRoman,Bold" w:cs="TimesNewRoman,Bold"/>
                <w:b/>
                <w:bCs/>
                <w:sz w:val="22"/>
                <w:szCs w:val="22"/>
                <w:lang w:val="is-IS" w:eastAsia="is-IS"/>
              </w:rPr>
            </w:pPr>
            <w:r w:rsidRPr="004E095C">
              <w:rPr>
                <w:rFonts w:ascii="TimesNewRoman,Bold" w:hAnsi="TimesNewRoman,Bold" w:cs="TimesNewRoman,Bold"/>
                <w:bCs/>
                <w:sz w:val="22"/>
                <w:szCs w:val="22"/>
                <w:lang w:val="is-IS" w:eastAsia="is-IS"/>
              </w:rPr>
              <w:t>Greina skal frá því í lýsingunni hvort fyrirhugað sé að leggja fram upplýsingar um viðskipti að útgáfu lokinni, eða ekki, að því er varðar verðbréf sem munu verða skráð og hver verðþróun tryggingarinnar, sem liggur til grundvallar, er. Ef útgefandi hefur tilkynnt að hann hafi í hyggju að birta slíkar upplýsingar skal tilgreina í lýsingunni hvaða upplýsingar verða birtar, hvar unnt sé að nálgast þessar upplýsingar og hversu oft þær verða birtar.</w:t>
            </w:r>
          </w:p>
        </w:tc>
      </w:tr>
    </w:tbl>
    <w:p w:rsidR="001C48A2" w:rsidRPr="00A12814" w:rsidRDefault="001C48A2" w:rsidP="00A12814">
      <w:pPr>
        <w:ind w:left="-180" w:firstLine="180"/>
        <w:rPr>
          <w:lang w:val="is-IS"/>
        </w:rPr>
      </w:pPr>
    </w:p>
    <w:sectPr w:rsidR="001C48A2" w:rsidRPr="00A12814" w:rsidSect="007A3D9E">
      <w:headerReference w:type="default" r:id="rId9"/>
      <w:footerReference w:type="default" r:id="rId10"/>
      <w:headerReference w:type="first" r:id="rId11"/>
      <w:footerReference w:type="first" r:id="rId12"/>
      <w:pgSz w:w="11906" w:h="16838" w:code="9"/>
      <w:pgMar w:top="1808"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EB" w:rsidRDefault="00590EEB">
      <w:r>
        <w:separator/>
      </w:r>
    </w:p>
  </w:endnote>
  <w:endnote w:type="continuationSeparator" w:id="0">
    <w:p w:rsidR="00590EEB" w:rsidRDefault="0059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EB" w:rsidRDefault="00590EEB" w:rsidP="007B7AF3">
    <w:pPr>
      <w:pStyle w:val="Footer"/>
      <w:jc w:val="center"/>
      <w:rPr>
        <w:sz w:val="20"/>
        <w:szCs w:val="20"/>
      </w:rPr>
    </w:pPr>
  </w:p>
  <w:p w:rsidR="00590EEB" w:rsidRPr="007B7AF3" w:rsidRDefault="00590EEB" w:rsidP="007B7AF3">
    <w:pPr>
      <w:pStyle w:val="Footer"/>
      <w:jc w:val="center"/>
      <w:rPr>
        <w:sz w:val="20"/>
        <w:szCs w:val="20"/>
      </w:rP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sidR="0094498A">
      <w:rPr>
        <w:noProof/>
        <w:sz w:val="20"/>
        <w:szCs w:val="20"/>
      </w:rPr>
      <w:t>2</w:t>
    </w:r>
    <w:r w:rsidRPr="007B7AF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EB" w:rsidRDefault="00590EEB" w:rsidP="007B7AF3">
    <w:pPr>
      <w:pStyle w:val="Footer"/>
      <w:jc w:val="cente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Pr>
        <w:noProof/>
        <w:sz w:val="20"/>
        <w:szCs w:val="20"/>
      </w:rPr>
      <w:t>1</w:t>
    </w:r>
    <w:r w:rsidRPr="007B7A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EB" w:rsidRDefault="00590EEB">
      <w:r>
        <w:separator/>
      </w:r>
    </w:p>
  </w:footnote>
  <w:footnote w:type="continuationSeparator" w:id="0">
    <w:p w:rsidR="00590EEB" w:rsidRDefault="0059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EB" w:rsidRPr="007A3D9E" w:rsidRDefault="00590EEB" w:rsidP="00292001">
    <w:pPr>
      <w:pStyle w:val="Header"/>
      <w:tabs>
        <w:tab w:val="clear" w:pos="9072"/>
        <w:tab w:val="right" w:pos="9214"/>
      </w:tabs>
      <w:rPr>
        <w:sz w:val="16"/>
        <w:szCs w:val="16"/>
        <w:lang w:val="is-IS"/>
      </w:rPr>
    </w:pPr>
    <w:r>
      <w:rPr>
        <w:noProof/>
        <w:lang w:val="is-IS" w:eastAsia="is-IS"/>
      </w:rPr>
      <w:drawing>
        <wp:anchor distT="0" distB="0" distL="114300" distR="114300" simplePos="0" relativeHeight="251659264" behindDoc="0" locked="1" layoutInCell="1" allowOverlap="1" wp14:anchorId="6DD69469" wp14:editId="5C0879E7">
          <wp:simplePos x="0" y="0"/>
          <wp:positionH relativeFrom="column">
            <wp:posOffset>2195195</wp:posOffset>
          </wp:positionH>
          <wp:positionV relativeFrom="paragraph">
            <wp:posOffset>-58420</wp:posOffset>
          </wp:positionV>
          <wp:extent cx="1586865" cy="54737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47370"/>
                  </a:xfrm>
                  <a:prstGeom prst="rect">
                    <a:avLst/>
                  </a:prstGeom>
                  <a:noFill/>
                </pic:spPr>
              </pic:pic>
            </a:graphicData>
          </a:graphic>
          <wp14:sizeRelH relativeFrom="page">
            <wp14:pctWidth>0</wp14:pctWidth>
          </wp14:sizeRelH>
          <wp14:sizeRelV relativeFrom="page">
            <wp14:pctHeight>0</wp14:pctHeight>
          </wp14:sizeRelV>
        </wp:anchor>
      </w:drawing>
    </w:r>
    <w:r w:rsidRPr="00862F31">
      <w:rPr>
        <w:lang w:val="is-IS"/>
      </w:rPr>
      <w:t>(Málsnúmer)</w:t>
    </w:r>
    <w:r>
      <w:rPr>
        <w:sz w:val="16"/>
        <w:szCs w:val="16"/>
        <w:lang w:val="is-IS"/>
      </w:rPr>
      <w:tab/>
    </w:r>
    <w:r>
      <w:rPr>
        <w:sz w:val="16"/>
        <w:szCs w:val="16"/>
        <w:lang w:val="is-IS"/>
      </w:rPr>
      <w:tab/>
      <w:t>VIII</w:t>
    </w:r>
    <w:r w:rsidRPr="007A3D9E">
      <w:rPr>
        <w:sz w:val="16"/>
        <w:szCs w:val="16"/>
        <w:lang w:val="is-IS"/>
      </w:rPr>
      <w:t>. Viðauki</w:t>
    </w:r>
  </w:p>
  <w:p w:rsidR="00590EEB" w:rsidRPr="007A3D9E" w:rsidRDefault="004E095C" w:rsidP="00C00631">
    <w:pPr>
      <w:pStyle w:val="Header"/>
      <w:rPr>
        <w:sz w:val="16"/>
        <w:szCs w:val="16"/>
        <w:lang w:val="is-IS"/>
      </w:rPr>
    </w:pPr>
    <w:r>
      <w:rPr>
        <w:sz w:val="16"/>
        <w:szCs w:val="16"/>
        <w:lang w:val="is-IS"/>
      </w:rPr>
      <w:t>Verðbréf</w:t>
    </w:r>
    <w:r w:rsidR="00590EEB">
      <w:rPr>
        <w:sz w:val="16"/>
        <w:szCs w:val="16"/>
        <w:lang w:val="is-IS"/>
      </w:rPr>
      <w:t>alýsing</w:t>
    </w:r>
    <w:r w:rsidR="00590EEB" w:rsidRPr="007A3D9E">
      <w:rPr>
        <w:sz w:val="16"/>
        <w:szCs w:val="16"/>
        <w:lang w:val="is-IS"/>
      </w:rPr>
      <w:t>, X. drög</w:t>
    </w:r>
  </w:p>
  <w:p w:rsidR="00590EEB" w:rsidRPr="007A3D9E" w:rsidRDefault="00590EEB" w:rsidP="00C00631">
    <w:pPr>
      <w:pStyle w:val="Header"/>
      <w:rPr>
        <w:sz w:val="16"/>
        <w:szCs w:val="16"/>
        <w:lang w:val="is-IS"/>
      </w:rPr>
    </w:pPr>
    <w:r w:rsidRPr="007A3D9E">
      <w:rPr>
        <w:sz w:val="16"/>
        <w:szCs w:val="16"/>
        <w:lang w:val="is-IS"/>
      </w:rPr>
      <w:t>dags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EB" w:rsidRPr="002B0E36" w:rsidRDefault="00590EEB" w:rsidP="002B0E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89"/>
    <w:multiLevelType w:val="hybridMultilevel"/>
    <w:tmpl w:val="13BA029C"/>
    <w:lvl w:ilvl="0" w:tplc="81983AD6">
      <w:start w:val="1"/>
      <w:numFmt w:val="lowerLetter"/>
      <w:lvlText w:val="%1)"/>
      <w:lvlJc w:val="left"/>
      <w:pPr>
        <w:ind w:left="72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7BD150C"/>
    <w:multiLevelType w:val="hybridMultilevel"/>
    <w:tmpl w:val="C2A8283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C793A48"/>
    <w:multiLevelType w:val="hybridMultilevel"/>
    <w:tmpl w:val="396AF5B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22A7F5F"/>
    <w:multiLevelType w:val="hybridMultilevel"/>
    <w:tmpl w:val="6D70CEE6"/>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1C8379A4"/>
    <w:multiLevelType w:val="hybridMultilevel"/>
    <w:tmpl w:val="3A92846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258805C2"/>
    <w:multiLevelType w:val="hybridMultilevel"/>
    <w:tmpl w:val="85EC32E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28325224"/>
    <w:multiLevelType w:val="hybridMultilevel"/>
    <w:tmpl w:val="F7C28C5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2D357E1E"/>
    <w:multiLevelType w:val="hybridMultilevel"/>
    <w:tmpl w:val="6D94699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30DF04DE"/>
    <w:multiLevelType w:val="hybridMultilevel"/>
    <w:tmpl w:val="EB20CF5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386D625F"/>
    <w:multiLevelType w:val="hybridMultilevel"/>
    <w:tmpl w:val="26CA928E"/>
    <w:lvl w:ilvl="0" w:tplc="14CAD6F6">
      <w:start w:val="3"/>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3931492D"/>
    <w:multiLevelType w:val="hybridMultilevel"/>
    <w:tmpl w:val="22B4C170"/>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4B176392"/>
    <w:multiLevelType w:val="hybridMultilevel"/>
    <w:tmpl w:val="62049D5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4BD7430F"/>
    <w:multiLevelType w:val="hybridMultilevel"/>
    <w:tmpl w:val="A69649E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51F737AE"/>
    <w:multiLevelType w:val="hybridMultilevel"/>
    <w:tmpl w:val="76CE3BE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59641FDD"/>
    <w:multiLevelType w:val="hybridMultilevel"/>
    <w:tmpl w:val="B444080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59E2698C"/>
    <w:multiLevelType w:val="hybridMultilevel"/>
    <w:tmpl w:val="D64CA74A"/>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6B0B57FD"/>
    <w:multiLevelType w:val="hybridMultilevel"/>
    <w:tmpl w:val="2C3EB76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6C9F6900"/>
    <w:multiLevelType w:val="hybridMultilevel"/>
    <w:tmpl w:val="9E20C5E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6DB87298"/>
    <w:multiLevelType w:val="hybridMultilevel"/>
    <w:tmpl w:val="29145F9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nsid w:val="75DB23F8"/>
    <w:multiLevelType w:val="hybridMultilevel"/>
    <w:tmpl w:val="1CBCD8A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79272332"/>
    <w:multiLevelType w:val="hybridMultilevel"/>
    <w:tmpl w:val="A40E25C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18"/>
  </w:num>
  <w:num w:numId="3">
    <w:abstractNumId w:val="5"/>
  </w:num>
  <w:num w:numId="4">
    <w:abstractNumId w:val="2"/>
  </w:num>
  <w:num w:numId="5">
    <w:abstractNumId w:val="14"/>
  </w:num>
  <w:num w:numId="6">
    <w:abstractNumId w:val="3"/>
  </w:num>
  <w:num w:numId="7">
    <w:abstractNumId w:val="9"/>
  </w:num>
  <w:num w:numId="8">
    <w:abstractNumId w:val="10"/>
  </w:num>
  <w:num w:numId="9">
    <w:abstractNumId w:val="15"/>
  </w:num>
  <w:num w:numId="10">
    <w:abstractNumId w:val="0"/>
  </w:num>
  <w:num w:numId="11">
    <w:abstractNumId w:val="1"/>
  </w:num>
  <w:num w:numId="12">
    <w:abstractNumId w:val="8"/>
  </w:num>
  <w:num w:numId="13">
    <w:abstractNumId w:val="20"/>
  </w:num>
  <w:num w:numId="14">
    <w:abstractNumId w:val="19"/>
  </w:num>
  <w:num w:numId="15">
    <w:abstractNumId w:val="17"/>
  </w:num>
  <w:num w:numId="16">
    <w:abstractNumId w:val="6"/>
  </w:num>
  <w:num w:numId="17">
    <w:abstractNumId w:val="13"/>
  </w:num>
  <w:num w:numId="18">
    <w:abstractNumId w:val="12"/>
  </w:num>
  <w:num w:numId="19">
    <w:abstractNumId w:val="1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4"/>
    <w:rsid w:val="00007C93"/>
    <w:rsid w:val="00036D2A"/>
    <w:rsid w:val="000A34D8"/>
    <w:rsid w:val="001137B0"/>
    <w:rsid w:val="00120422"/>
    <w:rsid w:val="00126874"/>
    <w:rsid w:val="001349AB"/>
    <w:rsid w:val="001A10A9"/>
    <w:rsid w:val="001A17F0"/>
    <w:rsid w:val="001C48A2"/>
    <w:rsid w:val="001D2568"/>
    <w:rsid w:val="00221654"/>
    <w:rsid w:val="00227162"/>
    <w:rsid w:val="002735BC"/>
    <w:rsid w:val="00292001"/>
    <w:rsid w:val="002B0E36"/>
    <w:rsid w:val="003175D5"/>
    <w:rsid w:val="0032318D"/>
    <w:rsid w:val="00334FE6"/>
    <w:rsid w:val="00365A21"/>
    <w:rsid w:val="003665B6"/>
    <w:rsid w:val="004562C7"/>
    <w:rsid w:val="0048355D"/>
    <w:rsid w:val="00486EEB"/>
    <w:rsid w:val="004E095C"/>
    <w:rsid w:val="005058E7"/>
    <w:rsid w:val="00562EE2"/>
    <w:rsid w:val="0057427A"/>
    <w:rsid w:val="00590EEB"/>
    <w:rsid w:val="005D1D79"/>
    <w:rsid w:val="00612D48"/>
    <w:rsid w:val="00620CA6"/>
    <w:rsid w:val="00626012"/>
    <w:rsid w:val="006C38A4"/>
    <w:rsid w:val="006D30AF"/>
    <w:rsid w:val="006F1AA6"/>
    <w:rsid w:val="00760B9F"/>
    <w:rsid w:val="007952D1"/>
    <w:rsid w:val="007A3D9E"/>
    <w:rsid w:val="007B7AF3"/>
    <w:rsid w:val="00815DA0"/>
    <w:rsid w:val="00832D16"/>
    <w:rsid w:val="0084135F"/>
    <w:rsid w:val="00841558"/>
    <w:rsid w:val="008548E5"/>
    <w:rsid w:val="00862F31"/>
    <w:rsid w:val="008969AD"/>
    <w:rsid w:val="008A207A"/>
    <w:rsid w:val="008A365F"/>
    <w:rsid w:val="008F5D1B"/>
    <w:rsid w:val="009057BA"/>
    <w:rsid w:val="009247E4"/>
    <w:rsid w:val="00925C31"/>
    <w:rsid w:val="0094498A"/>
    <w:rsid w:val="00956A8D"/>
    <w:rsid w:val="0096495E"/>
    <w:rsid w:val="009A4A8B"/>
    <w:rsid w:val="009C0ABD"/>
    <w:rsid w:val="009D3138"/>
    <w:rsid w:val="009F3FB6"/>
    <w:rsid w:val="00A12814"/>
    <w:rsid w:val="00A21FFA"/>
    <w:rsid w:val="00A27F98"/>
    <w:rsid w:val="00A50B13"/>
    <w:rsid w:val="00A61C67"/>
    <w:rsid w:val="00A8391C"/>
    <w:rsid w:val="00A91952"/>
    <w:rsid w:val="00B5708E"/>
    <w:rsid w:val="00B73895"/>
    <w:rsid w:val="00BD75B7"/>
    <w:rsid w:val="00C00631"/>
    <w:rsid w:val="00C03E98"/>
    <w:rsid w:val="00C11235"/>
    <w:rsid w:val="00C25898"/>
    <w:rsid w:val="00C83FBB"/>
    <w:rsid w:val="00C906FD"/>
    <w:rsid w:val="00C91AE9"/>
    <w:rsid w:val="00C97109"/>
    <w:rsid w:val="00CC2770"/>
    <w:rsid w:val="00D152D6"/>
    <w:rsid w:val="00D23CF1"/>
    <w:rsid w:val="00DD7BCE"/>
    <w:rsid w:val="00E2426E"/>
    <w:rsid w:val="00E36869"/>
    <w:rsid w:val="00E45794"/>
    <w:rsid w:val="00E501B1"/>
    <w:rsid w:val="00E640FD"/>
    <w:rsid w:val="00E80D4B"/>
    <w:rsid w:val="00F207F2"/>
    <w:rsid w:val="00F2171A"/>
    <w:rsid w:val="00F31A29"/>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E567-723C-4EF6-A0DC-A0AB10C7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1433</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vt:lpstr>
    </vt:vector>
  </TitlesOfParts>
  <Company>Fjármálaeftirlitið</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cp:lastModifiedBy>FME Greipur Þ. Júlíusson</cp:lastModifiedBy>
  <cp:revision>2</cp:revision>
  <cp:lastPrinted>2011-12-16T14:59:00Z</cp:lastPrinted>
  <dcterms:created xsi:type="dcterms:W3CDTF">2011-12-21T11:28:00Z</dcterms:created>
  <dcterms:modified xsi:type="dcterms:W3CDTF">2015-08-18T09:51:00Z</dcterms:modified>
</cp:coreProperties>
</file>