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E36" w:rsidRPr="00A126B5" w:rsidRDefault="002B0E36" w:rsidP="00A12814">
      <w:pPr>
        <w:rPr>
          <w:b/>
          <w:sz w:val="22"/>
          <w:szCs w:val="22"/>
          <w:lang w:val="is-IS"/>
        </w:rPr>
      </w:pPr>
    </w:p>
    <w:p w:rsidR="00A12814" w:rsidRPr="00A126B5" w:rsidRDefault="008F5D1B" w:rsidP="00A12814">
      <w:pPr>
        <w:rPr>
          <w:b/>
          <w:sz w:val="22"/>
          <w:szCs w:val="22"/>
          <w:lang w:val="is-IS" w:eastAsia="en-US"/>
        </w:rPr>
      </w:pPr>
      <w:r w:rsidRPr="00A126B5">
        <w:rPr>
          <w:b/>
          <w:sz w:val="22"/>
          <w:szCs w:val="22"/>
          <w:lang w:val="is-IS"/>
        </w:rPr>
        <w:t>V</w:t>
      </w:r>
      <w:r w:rsidR="00A12814" w:rsidRPr="00A126B5">
        <w:rPr>
          <w:b/>
          <w:sz w:val="22"/>
          <w:szCs w:val="22"/>
          <w:lang w:val="is-IS"/>
        </w:rPr>
        <w:t>. VIÐAUKI – REGLUGERÐ FRAMKVÆMDASTJÓRNARINNAR (EB) nr. 809/2004 frá 29. apríl 2004</w:t>
      </w:r>
    </w:p>
    <w:p w:rsidR="00A12814" w:rsidRPr="00A126B5" w:rsidRDefault="00A12814" w:rsidP="00A12814">
      <w:pPr>
        <w:ind w:left="720"/>
        <w:rPr>
          <w:b/>
          <w:color w:val="000000"/>
          <w:sz w:val="22"/>
          <w:szCs w:val="22"/>
          <w:lang w:val="is-IS" w:eastAsia="is-IS"/>
        </w:rPr>
      </w:pPr>
    </w:p>
    <w:p w:rsidR="00A12814" w:rsidRPr="00A126B5" w:rsidRDefault="00A12814" w:rsidP="00A12814">
      <w:pPr>
        <w:rPr>
          <w:b/>
          <w:color w:val="000000"/>
          <w:sz w:val="22"/>
          <w:szCs w:val="22"/>
          <w:lang w:val="is-IS" w:eastAsia="is-IS"/>
        </w:rPr>
      </w:pPr>
      <w:r w:rsidRPr="00A126B5">
        <w:rPr>
          <w:b/>
          <w:color w:val="000000"/>
          <w:sz w:val="22"/>
          <w:szCs w:val="22"/>
          <w:lang w:val="is-IS" w:eastAsia="is-IS"/>
        </w:rPr>
        <w:t xml:space="preserve">Sbr. tilgreint í 2. mgr. </w:t>
      </w:r>
      <w:proofErr w:type="spellStart"/>
      <w:r w:rsidRPr="00A126B5">
        <w:rPr>
          <w:b/>
          <w:color w:val="000000"/>
          <w:sz w:val="22"/>
          <w:szCs w:val="22"/>
          <w:lang w:val="is-IS" w:eastAsia="is-IS"/>
        </w:rPr>
        <w:t>regl</w:t>
      </w:r>
      <w:proofErr w:type="spellEnd"/>
      <w:r w:rsidRPr="00A126B5">
        <w:rPr>
          <w:b/>
          <w:color w:val="000000"/>
          <w:sz w:val="22"/>
          <w:szCs w:val="22"/>
          <w:lang w:val="is-IS" w:eastAsia="is-IS"/>
        </w:rPr>
        <w:t>. nr. 243/2006:</w:t>
      </w:r>
    </w:p>
    <w:p w:rsidR="00A12814" w:rsidRPr="00A126B5" w:rsidRDefault="00A12814" w:rsidP="00A12814">
      <w:pPr>
        <w:rPr>
          <w:b/>
          <w:i/>
          <w:color w:val="000000"/>
          <w:sz w:val="22"/>
          <w:szCs w:val="22"/>
          <w:lang w:val="is-IS" w:eastAsia="is-IS"/>
        </w:rPr>
      </w:pPr>
      <w:r w:rsidRPr="00A126B5">
        <w:rPr>
          <w:b/>
          <w:i/>
          <w:color w:val="000000"/>
          <w:sz w:val="22"/>
          <w:szCs w:val="22"/>
          <w:lang w:val="is-IS" w:eastAsia="is-IS"/>
        </w:rPr>
        <w:t>Ef ósamræmi er á milli íslensks og ensks texta reglugerðar framkvæmdastjórnarinnar nr. 809/2004 skal skýra íslenska textann með hliðsjón af enska textanum.</w:t>
      </w:r>
    </w:p>
    <w:p w:rsidR="00A12814" w:rsidRPr="00A126B5" w:rsidRDefault="00A12814" w:rsidP="00A12814">
      <w:pPr>
        <w:ind w:left="720"/>
        <w:rPr>
          <w:b/>
          <w:color w:val="000000"/>
          <w:sz w:val="22"/>
          <w:szCs w:val="22"/>
          <w:lang w:val="is-IS" w:eastAsia="is-IS"/>
        </w:rPr>
      </w:pPr>
    </w:p>
    <w:p w:rsidR="00A12814" w:rsidRPr="00A126B5" w:rsidRDefault="00A12814" w:rsidP="00A12814">
      <w:pPr>
        <w:rPr>
          <w:b/>
          <w:sz w:val="22"/>
          <w:szCs w:val="22"/>
          <w:lang w:val="is-IS"/>
        </w:rPr>
      </w:pPr>
      <w:r w:rsidRPr="00A126B5">
        <w:rPr>
          <w:b/>
          <w:sz w:val="22"/>
          <w:szCs w:val="22"/>
          <w:lang w:val="is-IS"/>
        </w:rPr>
        <w:t>Ef ósamræmi er á milli textans í þessu skjali og texta reglugerðar framkvæmdastjórnarinnar nr. 809/2004 er það texti reglugerðarinnar sem gildir.</w:t>
      </w:r>
    </w:p>
    <w:p w:rsidR="00841558" w:rsidRPr="00A126B5" w:rsidRDefault="00841558" w:rsidP="004562C7">
      <w:pPr>
        <w:rPr>
          <w:b/>
          <w:color w:val="4F81BD" w:themeColor="accent1"/>
          <w:sz w:val="22"/>
          <w:szCs w:val="22"/>
          <w:lang w:val="is-IS"/>
        </w:rPr>
      </w:pPr>
    </w:p>
    <w:p w:rsidR="008969AD" w:rsidRPr="00A126B5" w:rsidRDefault="008969AD" w:rsidP="00036D2A">
      <w:pPr>
        <w:rPr>
          <w:b/>
          <w:sz w:val="22"/>
          <w:szCs w:val="22"/>
          <w:lang w:val="is-IS"/>
        </w:rPr>
      </w:pPr>
    </w:p>
    <w:p w:rsidR="00620CA6" w:rsidRPr="00A126B5" w:rsidRDefault="00620CA6" w:rsidP="00620CA6">
      <w:pPr>
        <w:ind w:left="-180" w:firstLine="180"/>
        <w:jc w:val="center"/>
        <w:rPr>
          <w:b/>
          <w:sz w:val="22"/>
          <w:szCs w:val="22"/>
          <w:lang w:val="is-IS"/>
        </w:rPr>
      </w:pPr>
      <w:r w:rsidRPr="00A126B5">
        <w:rPr>
          <w:b/>
          <w:sz w:val="22"/>
          <w:szCs w:val="22"/>
          <w:lang w:val="is-IS"/>
        </w:rPr>
        <w:t>V. VIÐAUKI</w:t>
      </w:r>
    </w:p>
    <w:p w:rsidR="00620CA6" w:rsidRPr="00A126B5" w:rsidRDefault="00620CA6" w:rsidP="00620CA6">
      <w:pPr>
        <w:ind w:left="-180" w:firstLine="180"/>
        <w:jc w:val="center"/>
        <w:rPr>
          <w:b/>
          <w:sz w:val="22"/>
          <w:szCs w:val="22"/>
          <w:lang w:val="is-IS"/>
        </w:rPr>
      </w:pPr>
      <w:r w:rsidRPr="00A126B5">
        <w:rPr>
          <w:b/>
          <w:sz w:val="22"/>
          <w:szCs w:val="22"/>
          <w:lang w:val="is-IS"/>
        </w:rPr>
        <w:t>Lágmarkskröfur um upplýsingar sem koma eiga fram í verðbréfalýsingu sem tengist skuldabréfum (grunnskjal)</w:t>
      </w:r>
    </w:p>
    <w:p w:rsidR="00126874" w:rsidRPr="00A126B5" w:rsidRDefault="00620CA6" w:rsidP="00620CA6">
      <w:pPr>
        <w:ind w:left="-180" w:firstLine="180"/>
        <w:jc w:val="center"/>
        <w:rPr>
          <w:sz w:val="22"/>
          <w:szCs w:val="22"/>
          <w:lang w:val="is-IS"/>
        </w:rPr>
      </w:pPr>
      <w:r w:rsidRPr="00A126B5">
        <w:rPr>
          <w:b/>
          <w:sz w:val="22"/>
          <w:szCs w:val="22"/>
          <w:lang w:val="is-IS"/>
        </w:rPr>
        <w:t>(Skuldabréf þar sem nafnvirð</w:t>
      </w:r>
      <w:r w:rsidR="003D2DDA">
        <w:rPr>
          <w:b/>
          <w:sz w:val="22"/>
          <w:szCs w:val="22"/>
          <w:lang w:val="is-IS"/>
        </w:rPr>
        <w:t>i hverrar einingar er lægra en 10</w:t>
      </w:r>
      <w:bookmarkStart w:id="0" w:name="_GoBack"/>
      <w:bookmarkEnd w:id="0"/>
      <w:r w:rsidRPr="00A126B5">
        <w:rPr>
          <w:b/>
          <w:sz w:val="22"/>
          <w:szCs w:val="22"/>
          <w:lang w:val="is-IS"/>
        </w:rPr>
        <w:t>0.000 evrur)</w:t>
      </w:r>
    </w:p>
    <w:p w:rsidR="001C48A2" w:rsidRPr="00A126B5" w:rsidRDefault="001C48A2" w:rsidP="00A12814">
      <w:pPr>
        <w:ind w:left="-180" w:firstLine="180"/>
        <w:rPr>
          <w:sz w:val="22"/>
          <w:szCs w:val="22"/>
          <w:lang w:val="is-I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101"/>
        <w:gridCol w:w="850"/>
        <w:gridCol w:w="7697"/>
      </w:tblGrid>
      <w:tr w:rsidR="00CE5036" w:rsidRPr="00A126B5" w:rsidTr="00EB4AC9">
        <w:tc>
          <w:tcPr>
            <w:tcW w:w="1101" w:type="dxa"/>
          </w:tcPr>
          <w:p w:rsidR="00CE5036" w:rsidRPr="00C4246A" w:rsidRDefault="00CE5036" w:rsidP="00674FB4">
            <w:pPr>
              <w:rPr>
                <w:b/>
                <w:color w:val="FF0000"/>
                <w:sz w:val="22"/>
                <w:szCs w:val="22"/>
                <w:lang w:val="is-IS"/>
              </w:rPr>
            </w:pPr>
            <w:r>
              <w:rPr>
                <w:b/>
                <w:color w:val="FF0000"/>
                <w:sz w:val="22"/>
                <w:szCs w:val="22"/>
                <w:lang w:val="is-IS"/>
              </w:rPr>
              <w:t xml:space="preserve">Kafli# </w:t>
            </w:r>
            <w:proofErr w:type="spellStart"/>
            <w:r w:rsidRPr="00C4246A">
              <w:rPr>
                <w:b/>
                <w:color w:val="FF0000"/>
                <w:sz w:val="22"/>
                <w:szCs w:val="22"/>
                <w:lang w:val="is-IS"/>
              </w:rPr>
              <w:t>Bls</w:t>
            </w:r>
            <w:proofErr w:type="spellEnd"/>
            <w:r>
              <w:rPr>
                <w:b/>
                <w:color w:val="FF0000"/>
                <w:sz w:val="22"/>
                <w:szCs w:val="22"/>
                <w:lang w:val="is-IS"/>
              </w:rPr>
              <w:t>#</w:t>
            </w:r>
          </w:p>
        </w:tc>
        <w:tc>
          <w:tcPr>
            <w:tcW w:w="850" w:type="dxa"/>
            <w:vAlign w:val="center"/>
          </w:tcPr>
          <w:p w:rsidR="00CE5036" w:rsidRPr="00C4246A" w:rsidRDefault="00CE5036" w:rsidP="00674FB4">
            <w:pPr>
              <w:rPr>
                <w:b/>
                <w:sz w:val="22"/>
                <w:szCs w:val="22"/>
                <w:lang w:val="is-IS"/>
              </w:rPr>
            </w:pPr>
            <w:r w:rsidRPr="00C4246A">
              <w:rPr>
                <w:b/>
                <w:sz w:val="22"/>
                <w:szCs w:val="22"/>
                <w:lang w:val="is-IS"/>
              </w:rPr>
              <w:t>Liður</w:t>
            </w:r>
          </w:p>
        </w:tc>
        <w:tc>
          <w:tcPr>
            <w:tcW w:w="7697" w:type="dxa"/>
            <w:vAlign w:val="center"/>
          </w:tcPr>
          <w:p w:rsidR="00CE5036" w:rsidRPr="00C4246A" w:rsidRDefault="00CE5036" w:rsidP="00674FB4">
            <w:pPr>
              <w:rPr>
                <w:b/>
                <w:sz w:val="22"/>
                <w:szCs w:val="22"/>
              </w:rPr>
            </w:pPr>
            <w:proofErr w:type="spellStart"/>
            <w:r w:rsidRPr="00C4246A">
              <w:rPr>
                <w:b/>
                <w:sz w:val="22"/>
                <w:szCs w:val="22"/>
              </w:rPr>
              <w:t>Efni</w:t>
            </w:r>
            <w:proofErr w:type="spellEnd"/>
          </w:p>
        </w:tc>
      </w:tr>
      <w:tr w:rsidR="001C48A2" w:rsidRPr="00A126B5" w:rsidTr="00A126B5">
        <w:trPr>
          <w:trHeight w:val="28"/>
        </w:trPr>
        <w:tc>
          <w:tcPr>
            <w:tcW w:w="1101" w:type="dxa"/>
          </w:tcPr>
          <w:p w:rsidR="001C48A2" w:rsidRPr="00A126B5" w:rsidRDefault="001C48A2" w:rsidP="00A12814">
            <w:pPr>
              <w:rPr>
                <w:b/>
                <w:color w:val="FF0000"/>
                <w:sz w:val="22"/>
                <w:szCs w:val="22"/>
                <w:lang w:val="is-IS"/>
              </w:rPr>
            </w:pPr>
          </w:p>
        </w:tc>
        <w:tc>
          <w:tcPr>
            <w:tcW w:w="850" w:type="dxa"/>
          </w:tcPr>
          <w:p w:rsidR="001C48A2" w:rsidRPr="00A126B5" w:rsidRDefault="008A365F" w:rsidP="00A12814">
            <w:pPr>
              <w:rPr>
                <w:b/>
                <w:sz w:val="22"/>
                <w:szCs w:val="22"/>
                <w:lang w:val="is-IS"/>
              </w:rPr>
            </w:pPr>
            <w:r w:rsidRPr="00A126B5">
              <w:rPr>
                <w:b/>
                <w:sz w:val="22"/>
                <w:szCs w:val="22"/>
                <w:lang w:val="is-IS"/>
              </w:rPr>
              <w:t>1.</w:t>
            </w:r>
          </w:p>
        </w:tc>
        <w:tc>
          <w:tcPr>
            <w:tcW w:w="7697" w:type="dxa"/>
            <w:vAlign w:val="center"/>
          </w:tcPr>
          <w:p w:rsidR="001C48A2" w:rsidRPr="00A126B5" w:rsidRDefault="008A365F" w:rsidP="008A365F">
            <w:pPr>
              <w:rPr>
                <w:sz w:val="22"/>
                <w:szCs w:val="22"/>
                <w:lang w:val="is-IS"/>
              </w:rPr>
            </w:pPr>
            <w:r w:rsidRPr="00A126B5">
              <w:rPr>
                <w:b/>
                <w:sz w:val="22"/>
                <w:szCs w:val="22"/>
              </w:rPr>
              <w:t>ÁBYRGIR AÐILAR</w:t>
            </w:r>
          </w:p>
        </w:tc>
      </w:tr>
      <w:tr w:rsidR="001C48A2" w:rsidRPr="00A126B5" w:rsidTr="00A126B5">
        <w:trPr>
          <w:trHeight w:val="680"/>
        </w:trPr>
        <w:tc>
          <w:tcPr>
            <w:tcW w:w="1101" w:type="dxa"/>
          </w:tcPr>
          <w:p w:rsidR="001C48A2" w:rsidRPr="00A126B5" w:rsidRDefault="001C48A2" w:rsidP="00A12814">
            <w:pPr>
              <w:rPr>
                <w:sz w:val="22"/>
                <w:szCs w:val="22"/>
                <w:lang w:val="is-IS"/>
              </w:rPr>
            </w:pPr>
          </w:p>
        </w:tc>
        <w:tc>
          <w:tcPr>
            <w:tcW w:w="850" w:type="dxa"/>
          </w:tcPr>
          <w:p w:rsidR="001C48A2" w:rsidRPr="00A126B5" w:rsidRDefault="008A365F" w:rsidP="00A12814">
            <w:pPr>
              <w:rPr>
                <w:b/>
                <w:sz w:val="22"/>
                <w:szCs w:val="22"/>
                <w:lang w:val="is-IS"/>
              </w:rPr>
            </w:pPr>
            <w:r w:rsidRPr="00A126B5">
              <w:rPr>
                <w:b/>
                <w:sz w:val="22"/>
                <w:szCs w:val="22"/>
                <w:lang w:val="is-IS"/>
              </w:rPr>
              <w:t>1.1.</w:t>
            </w:r>
          </w:p>
        </w:tc>
        <w:tc>
          <w:tcPr>
            <w:tcW w:w="7697" w:type="dxa"/>
            <w:vAlign w:val="center"/>
          </w:tcPr>
          <w:p w:rsidR="001C48A2" w:rsidRPr="00A126B5" w:rsidRDefault="005058E7" w:rsidP="005058E7">
            <w:pPr>
              <w:rPr>
                <w:sz w:val="22"/>
                <w:szCs w:val="22"/>
                <w:lang w:val="is-IS"/>
              </w:rPr>
            </w:pPr>
            <w:r w:rsidRPr="00A126B5">
              <w:rPr>
                <w:sz w:val="22"/>
                <w:szCs w:val="22"/>
                <w:lang w:val="is-IS"/>
              </w:rPr>
              <w:t>Tilgreina skal alla aðila, sem eru ábyrgir fyrir upplýsingum í lýsingunni og, eftir atvikum, fyrir tilteknum hlutum hennar og í því tilviki skal tilgreina þá hluta sem þeir eru ábyrgir fyrir. Ef um er að ræða einstaklinga, þ.m.t. aðila að stjórn, framkvæmdastjórn eða eftirlitsstjórn útgefandans, skulu þeir tilgreindir með nafni og stöðuheiti. Ef um er að ræða lögaðila skal tilgreina nafn þeirra og skráða skrifstofu.</w:t>
            </w:r>
          </w:p>
        </w:tc>
      </w:tr>
      <w:tr w:rsidR="001C48A2" w:rsidRPr="00A126B5" w:rsidTr="00A126B5">
        <w:tc>
          <w:tcPr>
            <w:tcW w:w="1101" w:type="dxa"/>
          </w:tcPr>
          <w:p w:rsidR="001C48A2" w:rsidRPr="00A126B5" w:rsidRDefault="001C48A2" w:rsidP="00A12814">
            <w:pPr>
              <w:rPr>
                <w:sz w:val="22"/>
                <w:szCs w:val="22"/>
                <w:lang w:val="is-IS"/>
              </w:rPr>
            </w:pPr>
          </w:p>
        </w:tc>
        <w:tc>
          <w:tcPr>
            <w:tcW w:w="850" w:type="dxa"/>
          </w:tcPr>
          <w:p w:rsidR="001C48A2" w:rsidRPr="00A126B5" w:rsidRDefault="008A365F" w:rsidP="00A12814">
            <w:pPr>
              <w:rPr>
                <w:b/>
                <w:sz w:val="22"/>
                <w:szCs w:val="22"/>
                <w:lang w:val="is-IS"/>
              </w:rPr>
            </w:pPr>
            <w:r w:rsidRPr="00A126B5">
              <w:rPr>
                <w:b/>
                <w:sz w:val="22"/>
                <w:szCs w:val="22"/>
                <w:lang w:val="is-IS"/>
              </w:rPr>
              <w:t>1.2.</w:t>
            </w:r>
          </w:p>
        </w:tc>
        <w:tc>
          <w:tcPr>
            <w:tcW w:w="7697" w:type="dxa"/>
            <w:vAlign w:val="center"/>
          </w:tcPr>
          <w:p w:rsidR="001C48A2" w:rsidRPr="00A126B5" w:rsidRDefault="005058E7" w:rsidP="005058E7">
            <w:pPr>
              <w:rPr>
                <w:sz w:val="22"/>
                <w:szCs w:val="22"/>
                <w:lang w:val="is-IS"/>
              </w:rPr>
            </w:pPr>
            <w:r w:rsidRPr="00A126B5">
              <w:rPr>
                <w:sz w:val="22"/>
                <w:szCs w:val="22"/>
                <w:lang w:val="is-IS"/>
              </w:rPr>
              <w:t>Yfirlýsing frá þeim sem eru ábyrgir fyrir lýsingunni þess efnis að samkvæmt þeirra bestu vitund séu upplýsingarnar, sem lýsingin hefur að geyma, í samræmi við staðreyndir og að engum upplýsingum sé sleppt sem kunna að skipta máli varðandi áreiðanleika hennar. Eftir atvikum, yfirlýsing frá þeim sem eru ábyrgir fyrir tilteknum hlutum lýsingarinnar þess efnis að samkvæmt þeirra bestu vitund séu upplýsingarnar, sem er að finna í þeim hluta lýsingarinnar sem þeir eru ábyrgir fyrir, í samræmi við staðreyndir og að engum upplýsingum sé sleppt sem kunna að skipta máli varðandi áreiðanleika hans.</w:t>
            </w:r>
          </w:p>
        </w:tc>
      </w:tr>
      <w:tr w:rsidR="001C48A2" w:rsidRPr="00A126B5" w:rsidTr="00A126B5">
        <w:trPr>
          <w:trHeight w:val="28"/>
        </w:trPr>
        <w:tc>
          <w:tcPr>
            <w:tcW w:w="1101" w:type="dxa"/>
          </w:tcPr>
          <w:p w:rsidR="001C48A2" w:rsidRPr="00A126B5" w:rsidRDefault="001C48A2" w:rsidP="00A12814">
            <w:pPr>
              <w:rPr>
                <w:sz w:val="22"/>
                <w:szCs w:val="22"/>
                <w:lang w:val="is-IS"/>
              </w:rPr>
            </w:pPr>
          </w:p>
        </w:tc>
        <w:tc>
          <w:tcPr>
            <w:tcW w:w="850" w:type="dxa"/>
          </w:tcPr>
          <w:p w:rsidR="001C48A2" w:rsidRPr="00A126B5" w:rsidRDefault="008A365F" w:rsidP="00A12814">
            <w:pPr>
              <w:rPr>
                <w:b/>
                <w:sz w:val="22"/>
                <w:szCs w:val="22"/>
                <w:lang w:val="is-IS"/>
              </w:rPr>
            </w:pPr>
            <w:r w:rsidRPr="00A126B5">
              <w:rPr>
                <w:b/>
                <w:sz w:val="22"/>
                <w:szCs w:val="22"/>
                <w:lang w:val="is-IS"/>
              </w:rPr>
              <w:t>2.</w:t>
            </w:r>
          </w:p>
        </w:tc>
        <w:tc>
          <w:tcPr>
            <w:tcW w:w="7697" w:type="dxa"/>
            <w:vAlign w:val="center"/>
          </w:tcPr>
          <w:p w:rsidR="001C48A2" w:rsidRPr="00A126B5" w:rsidRDefault="005058E7" w:rsidP="008A365F">
            <w:pPr>
              <w:rPr>
                <w:sz w:val="22"/>
                <w:szCs w:val="22"/>
                <w:lang w:val="is-IS"/>
              </w:rPr>
            </w:pPr>
            <w:r w:rsidRPr="00A126B5">
              <w:rPr>
                <w:b/>
                <w:sz w:val="22"/>
                <w:szCs w:val="22"/>
              </w:rPr>
              <w:t>ÁHÆTTUÞÆTTIR</w:t>
            </w:r>
          </w:p>
        </w:tc>
      </w:tr>
      <w:tr w:rsidR="001C48A2" w:rsidRPr="00A126B5" w:rsidTr="00A126B5">
        <w:trPr>
          <w:trHeight w:val="720"/>
        </w:trPr>
        <w:tc>
          <w:tcPr>
            <w:tcW w:w="1101" w:type="dxa"/>
          </w:tcPr>
          <w:p w:rsidR="001C48A2" w:rsidRPr="00A126B5" w:rsidRDefault="001C48A2" w:rsidP="00A12814">
            <w:pPr>
              <w:rPr>
                <w:sz w:val="22"/>
                <w:szCs w:val="22"/>
                <w:lang w:val="is-IS"/>
              </w:rPr>
            </w:pPr>
          </w:p>
        </w:tc>
        <w:tc>
          <w:tcPr>
            <w:tcW w:w="850" w:type="dxa"/>
          </w:tcPr>
          <w:p w:rsidR="001C48A2" w:rsidRPr="00A126B5" w:rsidRDefault="008A365F" w:rsidP="00A12814">
            <w:pPr>
              <w:rPr>
                <w:b/>
                <w:sz w:val="22"/>
                <w:szCs w:val="22"/>
                <w:lang w:val="is-IS"/>
              </w:rPr>
            </w:pPr>
            <w:r w:rsidRPr="00A126B5">
              <w:rPr>
                <w:b/>
                <w:sz w:val="22"/>
                <w:szCs w:val="22"/>
                <w:lang w:val="is-IS"/>
              </w:rPr>
              <w:t>2.1.</w:t>
            </w:r>
          </w:p>
        </w:tc>
        <w:tc>
          <w:tcPr>
            <w:tcW w:w="7697" w:type="dxa"/>
            <w:vAlign w:val="center"/>
          </w:tcPr>
          <w:p w:rsidR="001C48A2" w:rsidRPr="00A126B5" w:rsidRDefault="005058E7" w:rsidP="005058E7">
            <w:pPr>
              <w:rPr>
                <w:sz w:val="22"/>
                <w:szCs w:val="22"/>
                <w:lang w:val="is-IS"/>
              </w:rPr>
            </w:pPr>
            <w:r w:rsidRPr="00A126B5">
              <w:rPr>
                <w:sz w:val="22"/>
                <w:szCs w:val="22"/>
                <w:lang w:val="is-IS"/>
              </w:rPr>
              <w:t>Upplýsingar um áhættuþætti sem skipta máli fyrir verðbréfin sem eru boðin til kaups eða skráð á markað svo meta megi markaðsáhættuna sem tengist þeim skulu birtar á áberandi stað í kafla sem ber yfirskriftina „Áhættuþættir“.</w:t>
            </w:r>
          </w:p>
        </w:tc>
      </w:tr>
      <w:tr w:rsidR="005058E7" w:rsidRPr="00A126B5" w:rsidTr="00A126B5">
        <w:trPr>
          <w:trHeight w:val="28"/>
        </w:trPr>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3.</w:t>
            </w:r>
          </w:p>
        </w:tc>
        <w:tc>
          <w:tcPr>
            <w:tcW w:w="7697" w:type="dxa"/>
            <w:vAlign w:val="center"/>
          </w:tcPr>
          <w:p w:rsidR="005058E7" w:rsidRPr="00A126B5" w:rsidRDefault="005058E7" w:rsidP="003665B6">
            <w:pPr>
              <w:rPr>
                <w:sz w:val="22"/>
                <w:szCs w:val="22"/>
                <w:lang w:val="is-IS"/>
              </w:rPr>
            </w:pPr>
            <w:r w:rsidRPr="00A126B5">
              <w:rPr>
                <w:b/>
                <w:sz w:val="22"/>
                <w:szCs w:val="22"/>
              </w:rPr>
              <w:t>HELSTU UPPLÝSINGAR</w:t>
            </w:r>
          </w:p>
        </w:tc>
      </w:tr>
      <w:tr w:rsidR="005058E7" w:rsidRPr="00A126B5" w:rsidTr="00A126B5">
        <w:trPr>
          <w:trHeight w:val="485"/>
        </w:trPr>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3.1.</w:t>
            </w:r>
          </w:p>
        </w:tc>
        <w:tc>
          <w:tcPr>
            <w:tcW w:w="7697" w:type="dxa"/>
            <w:vAlign w:val="center"/>
          </w:tcPr>
          <w:p w:rsidR="005058E7" w:rsidRPr="00A126B5" w:rsidRDefault="005058E7" w:rsidP="005058E7">
            <w:pPr>
              <w:rPr>
                <w:i/>
                <w:sz w:val="22"/>
                <w:szCs w:val="22"/>
                <w:lang w:val="is-IS"/>
              </w:rPr>
            </w:pPr>
            <w:r w:rsidRPr="00A126B5">
              <w:rPr>
                <w:i/>
                <w:sz w:val="22"/>
                <w:szCs w:val="22"/>
                <w:lang w:val="is-IS"/>
              </w:rPr>
              <w:t>Hagsmunir einstaklinga og lögaðila sem tengjast útgáfunni/útboðinu</w:t>
            </w:r>
          </w:p>
          <w:p w:rsidR="005058E7" w:rsidRPr="00A126B5" w:rsidRDefault="005058E7" w:rsidP="005058E7">
            <w:pPr>
              <w:rPr>
                <w:sz w:val="22"/>
                <w:szCs w:val="22"/>
                <w:lang w:val="is-IS"/>
              </w:rPr>
            </w:pPr>
          </w:p>
          <w:p w:rsidR="005058E7" w:rsidRPr="00A126B5" w:rsidRDefault="005058E7" w:rsidP="005058E7">
            <w:pPr>
              <w:rPr>
                <w:sz w:val="22"/>
                <w:szCs w:val="22"/>
                <w:lang w:val="is-IS"/>
              </w:rPr>
            </w:pPr>
            <w:r w:rsidRPr="00A126B5">
              <w:rPr>
                <w:sz w:val="22"/>
                <w:szCs w:val="22"/>
                <w:lang w:val="is-IS"/>
              </w:rPr>
              <w:t>Lýsing á hvers kyns hagsmunum, þ.m.t. ósamrýmanlegir hagsmunir sem skipta máli fyrir útgáfu/útboð, ásamt ítarlegum upplýsingum um aðila sem hlut eiga að máli og eðli hagsmunanna.</w:t>
            </w:r>
          </w:p>
        </w:tc>
      </w:tr>
      <w:tr w:rsidR="005058E7" w:rsidRPr="00A126B5" w:rsidTr="00A126B5">
        <w:trPr>
          <w:trHeight w:val="28"/>
        </w:trPr>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3.2.</w:t>
            </w:r>
          </w:p>
        </w:tc>
        <w:tc>
          <w:tcPr>
            <w:tcW w:w="7697" w:type="dxa"/>
            <w:vAlign w:val="center"/>
          </w:tcPr>
          <w:p w:rsidR="005058E7" w:rsidRPr="00A126B5" w:rsidRDefault="005058E7" w:rsidP="005058E7">
            <w:pPr>
              <w:rPr>
                <w:i/>
                <w:sz w:val="22"/>
                <w:szCs w:val="22"/>
                <w:lang w:val="is-IS"/>
              </w:rPr>
            </w:pPr>
            <w:r w:rsidRPr="00A126B5">
              <w:rPr>
                <w:i/>
                <w:sz w:val="22"/>
                <w:szCs w:val="22"/>
                <w:lang w:val="is-IS"/>
              </w:rPr>
              <w:t>Ástæður fyrir útboðinu og ráðstöfun söluandvirðis útboðs</w:t>
            </w:r>
          </w:p>
          <w:p w:rsidR="005058E7" w:rsidRPr="00A126B5" w:rsidRDefault="005058E7" w:rsidP="005058E7">
            <w:pPr>
              <w:rPr>
                <w:sz w:val="22"/>
                <w:szCs w:val="22"/>
                <w:lang w:val="is-IS"/>
              </w:rPr>
            </w:pPr>
          </w:p>
          <w:p w:rsidR="005058E7" w:rsidRPr="00A126B5" w:rsidRDefault="005058E7" w:rsidP="005058E7">
            <w:pPr>
              <w:rPr>
                <w:sz w:val="22"/>
                <w:szCs w:val="22"/>
                <w:lang w:val="is-IS"/>
              </w:rPr>
            </w:pPr>
            <w:r w:rsidRPr="00A126B5">
              <w:rPr>
                <w:sz w:val="22"/>
                <w:szCs w:val="22"/>
                <w:lang w:val="is-IS"/>
              </w:rPr>
              <w:t>Ástæður fyrir útboðinu ef þær varða ekki myndun hagnaðar og/eða vörn gegn tilteknum áhættum. Upplýsingar um áætlaðan heildarkostnað við útgáfuna/útboðið og áætlað nettósöluandvirði, þar sem við á. Sundurliða skal</w:t>
            </w:r>
          </w:p>
          <w:p w:rsidR="005058E7" w:rsidRPr="00A126B5" w:rsidRDefault="005058E7" w:rsidP="005058E7">
            <w:pPr>
              <w:rPr>
                <w:sz w:val="22"/>
                <w:szCs w:val="22"/>
                <w:lang w:val="is-IS"/>
              </w:rPr>
            </w:pPr>
            <w:r w:rsidRPr="00A126B5">
              <w:rPr>
                <w:sz w:val="22"/>
                <w:szCs w:val="22"/>
                <w:lang w:val="is-IS"/>
              </w:rPr>
              <w:t xml:space="preserve">þennan kostnað og söluandvirði miðað við fyrirhugaða ráðstöfun og </w:t>
            </w:r>
            <w:proofErr w:type="spellStart"/>
            <w:r w:rsidRPr="00A126B5">
              <w:rPr>
                <w:sz w:val="22"/>
                <w:szCs w:val="22"/>
                <w:lang w:val="is-IS"/>
              </w:rPr>
              <w:t>organgsraða</w:t>
            </w:r>
            <w:proofErr w:type="spellEnd"/>
            <w:r w:rsidRPr="00A126B5">
              <w:rPr>
                <w:sz w:val="22"/>
                <w:szCs w:val="22"/>
                <w:lang w:val="is-IS"/>
              </w:rPr>
              <w:t xml:space="preserve"> </w:t>
            </w:r>
            <w:r w:rsidRPr="00A126B5">
              <w:rPr>
                <w:sz w:val="22"/>
                <w:szCs w:val="22"/>
                <w:lang w:val="is-IS"/>
              </w:rPr>
              <w:lastRenderedPageBreak/>
              <w:t>eftir ráðstöfun. Komist útgefandinn að raun um að áætlað söluandvirði verði ekki fullnægjandi til að standa straum af fyrirhugaðri ráðstöfun skal tilgreina fjárhæðina sem upp á vantar og hvaðan sú fjármögnun kemur.</w:t>
            </w:r>
          </w:p>
        </w:tc>
      </w:tr>
      <w:tr w:rsidR="005058E7" w:rsidRPr="00A126B5" w:rsidTr="00A126B5">
        <w:trPr>
          <w:trHeight w:val="269"/>
        </w:trPr>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w:t>
            </w:r>
          </w:p>
        </w:tc>
        <w:tc>
          <w:tcPr>
            <w:tcW w:w="7697" w:type="dxa"/>
            <w:vAlign w:val="center"/>
          </w:tcPr>
          <w:p w:rsidR="005058E7" w:rsidRPr="00A126B5" w:rsidRDefault="005058E7" w:rsidP="003665B6">
            <w:pPr>
              <w:rPr>
                <w:b/>
                <w:sz w:val="22"/>
                <w:szCs w:val="22"/>
              </w:rPr>
            </w:pPr>
            <w:r w:rsidRPr="00A126B5">
              <w:rPr>
                <w:b/>
                <w:sz w:val="22"/>
                <w:szCs w:val="22"/>
              </w:rPr>
              <w:t>UPPLÝSINGAR UM VERÐBRÉF SEM Á AÐ BJÓÐA/SKRÁ Á MARKAÐ</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4.1.</w:t>
            </w:r>
          </w:p>
        </w:tc>
        <w:tc>
          <w:tcPr>
            <w:tcW w:w="7697" w:type="dxa"/>
            <w:vAlign w:val="center"/>
          </w:tcPr>
          <w:p w:rsidR="005058E7" w:rsidRPr="00A126B5" w:rsidRDefault="00B5708E" w:rsidP="00B5708E">
            <w:pPr>
              <w:autoSpaceDE w:val="0"/>
              <w:autoSpaceDN w:val="0"/>
              <w:adjustRightInd w:val="0"/>
              <w:rPr>
                <w:b/>
                <w:sz w:val="22"/>
                <w:szCs w:val="22"/>
                <w:lang w:val="da-DK"/>
              </w:rPr>
            </w:pPr>
            <w:r w:rsidRPr="00A126B5">
              <w:rPr>
                <w:sz w:val="22"/>
                <w:szCs w:val="22"/>
                <w:lang w:val="is-IS"/>
              </w:rPr>
              <w:t>Lýsing á tegund og flokki verðbréfa sem eru boðin til kaups og/eða á að skrá á markað, þ.m.t. ISIN-númer eða annað slíkt öryggisauðkenninúmer.</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4.2.</w:t>
            </w:r>
          </w:p>
        </w:tc>
        <w:tc>
          <w:tcPr>
            <w:tcW w:w="7697" w:type="dxa"/>
            <w:vAlign w:val="center"/>
          </w:tcPr>
          <w:p w:rsidR="005058E7" w:rsidRPr="00A126B5" w:rsidRDefault="00B5708E" w:rsidP="00B5708E">
            <w:pPr>
              <w:autoSpaceDE w:val="0"/>
              <w:autoSpaceDN w:val="0"/>
              <w:adjustRightInd w:val="0"/>
              <w:rPr>
                <w:sz w:val="22"/>
                <w:szCs w:val="22"/>
                <w:lang w:val="is-IS"/>
              </w:rPr>
            </w:pPr>
            <w:r w:rsidRPr="00A126B5">
              <w:rPr>
                <w:sz w:val="22"/>
                <w:szCs w:val="22"/>
                <w:lang w:val="is-IS"/>
              </w:rPr>
              <w:t>Upplýsingar um löggjöfina sem verðbréfin eru gefin út í samræmi við.</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4.3.</w:t>
            </w:r>
          </w:p>
        </w:tc>
        <w:tc>
          <w:tcPr>
            <w:tcW w:w="7697" w:type="dxa"/>
            <w:vAlign w:val="center"/>
          </w:tcPr>
          <w:p w:rsidR="005058E7" w:rsidRPr="00A126B5" w:rsidRDefault="00B5708E" w:rsidP="00B5708E">
            <w:pPr>
              <w:autoSpaceDE w:val="0"/>
              <w:autoSpaceDN w:val="0"/>
              <w:adjustRightInd w:val="0"/>
              <w:rPr>
                <w:sz w:val="22"/>
                <w:szCs w:val="22"/>
                <w:lang w:val="is-IS"/>
              </w:rPr>
            </w:pPr>
            <w:r w:rsidRPr="00A126B5">
              <w:rPr>
                <w:sz w:val="22"/>
                <w:szCs w:val="22"/>
                <w:lang w:val="is-IS"/>
              </w:rPr>
              <w:t>Upplýsingar um hvort verðbréfin eru nafnbréf eða handhafabréf og hvort þau eru í skírteinisformi eða rafrænt skráð. Í síðara tilvikinu skal tilgreina nafn og heimilisfang aðilans sem sér um skráninguna.</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4.4.</w:t>
            </w:r>
          </w:p>
        </w:tc>
        <w:tc>
          <w:tcPr>
            <w:tcW w:w="7697" w:type="dxa"/>
            <w:vAlign w:val="center"/>
          </w:tcPr>
          <w:p w:rsidR="005058E7" w:rsidRPr="00A126B5" w:rsidRDefault="00B5708E" w:rsidP="00B5708E">
            <w:pPr>
              <w:autoSpaceDE w:val="0"/>
              <w:autoSpaceDN w:val="0"/>
              <w:adjustRightInd w:val="0"/>
              <w:rPr>
                <w:sz w:val="22"/>
                <w:szCs w:val="22"/>
                <w:lang w:val="is-IS"/>
              </w:rPr>
            </w:pPr>
            <w:r w:rsidRPr="00A126B5">
              <w:rPr>
                <w:sz w:val="22"/>
                <w:szCs w:val="22"/>
                <w:lang w:val="is-IS"/>
              </w:rPr>
              <w:t>Upplýsingar um í hvaða gjaldmiðli verðbréfin eru gefin út.</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4.5.</w:t>
            </w:r>
          </w:p>
        </w:tc>
        <w:tc>
          <w:tcPr>
            <w:tcW w:w="7697" w:type="dxa"/>
            <w:vAlign w:val="center"/>
          </w:tcPr>
          <w:p w:rsidR="005058E7" w:rsidRPr="00A126B5" w:rsidRDefault="00B5708E" w:rsidP="00B5708E">
            <w:pPr>
              <w:autoSpaceDE w:val="0"/>
              <w:autoSpaceDN w:val="0"/>
              <w:adjustRightInd w:val="0"/>
              <w:rPr>
                <w:sz w:val="22"/>
                <w:szCs w:val="22"/>
                <w:lang w:val="is-IS"/>
              </w:rPr>
            </w:pPr>
            <w:r w:rsidRPr="00A126B5">
              <w:rPr>
                <w:sz w:val="22"/>
                <w:szCs w:val="22"/>
                <w:lang w:val="is-IS"/>
              </w:rPr>
              <w:t>Forgangsröðun verðbréfa sem eru boðin til kaups og/eða á að skrá, þ.m.t. samantektir á hvers kyns ákvæðum sem eiga að hafa áhrif á forgangsröðun verðbréfa eða gera þau víkjandi gagnvart yfirstandandi eða framtíðar</w:t>
            </w:r>
            <w:r w:rsidRPr="00A126B5">
              <w:rPr>
                <w:sz w:val="22"/>
                <w:szCs w:val="22"/>
                <w:lang w:val="is-IS"/>
              </w:rPr>
              <w:softHyphen/>
              <w:t>skuldbindingum útgefandans.</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4.6.</w:t>
            </w:r>
          </w:p>
        </w:tc>
        <w:tc>
          <w:tcPr>
            <w:tcW w:w="7697" w:type="dxa"/>
            <w:vAlign w:val="center"/>
          </w:tcPr>
          <w:p w:rsidR="005058E7" w:rsidRPr="00A126B5" w:rsidRDefault="00B5708E" w:rsidP="00B5708E">
            <w:pPr>
              <w:autoSpaceDE w:val="0"/>
              <w:autoSpaceDN w:val="0"/>
              <w:adjustRightInd w:val="0"/>
              <w:rPr>
                <w:sz w:val="22"/>
                <w:szCs w:val="22"/>
                <w:lang w:val="is-IS"/>
              </w:rPr>
            </w:pPr>
            <w:r w:rsidRPr="00A126B5">
              <w:rPr>
                <w:sz w:val="22"/>
                <w:szCs w:val="22"/>
                <w:lang w:val="is-IS"/>
              </w:rPr>
              <w:t>Lýsing á réttindum tengdum verðbréfunum, þ.m.t. hvers kyns takmarkanir á þessum réttindum, og málsmeðferð við nýtingu þeirra.</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5058E7" w:rsidP="00A12814">
            <w:pPr>
              <w:rPr>
                <w:b/>
                <w:sz w:val="22"/>
                <w:szCs w:val="22"/>
                <w:lang w:val="is-IS"/>
              </w:rPr>
            </w:pPr>
            <w:r w:rsidRPr="00A126B5">
              <w:rPr>
                <w:b/>
                <w:sz w:val="22"/>
                <w:szCs w:val="22"/>
                <w:lang w:val="is-IS"/>
              </w:rPr>
              <w:t>4.7.</w:t>
            </w:r>
          </w:p>
        </w:tc>
        <w:tc>
          <w:tcPr>
            <w:tcW w:w="7697" w:type="dxa"/>
            <w:vAlign w:val="center"/>
          </w:tcPr>
          <w:p w:rsidR="00F315A7" w:rsidRPr="00F315A7" w:rsidRDefault="00F315A7" w:rsidP="00F315A7">
            <w:pPr>
              <w:autoSpaceDE w:val="0"/>
              <w:autoSpaceDN w:val="0"/>
              <w:adjustRightInd w:val="0"/>
              <w:rPr>
                <w:sz w:val="22"/>
                <w:szCs w:val="22"/>
                <w:lang w:val="is-IS"/>
              </w:rPr>
            </w:pPr>
            <w:r w:rsidRPr="00F315A7">
              <w:rPr>
                <w:sz w:val="22"/>
                <w:szCs w:val="22"/>
                <w:lang w:val="is-IS"/>
              </w:rPr>
              <w:t>Nafnvextirnir og ákvæði varðandi vaxtagjöld:</w:t>
            </w: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r w:rsidRPr="00F315A7">
              <w:rPr>
                <w:sz w:val="22"/>
                <w:szCs w:val="22"/>
                <w:lang w:val="is-IS"/>
              </w:rPr>
              <w:t>–    Upphafsdagur og gjalddagar vaxta.</w:t>
            </w: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r w:rsidRPr="00F315A7">
              <w:rPr>
                <w:sz w:val="22"/>
                <w:szCs w:val="22"/>
                <w:lang w:val="is-IS"/>
              </w:rPr>
              <w:t>–    Fyrningarfrestur á vaxtakröfum og kröfum til endurgreiðslu höfuðstóls.</w:t>
            </w: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r w:rsidRPr="00F315A7">
              <w:rPr>
                <w:sz w:val="22"/>
                <w:szCs w:val="22"/>
                <w:lang w:val="is-IS"/>
              </w:rPr>
              <w:t>Ef vextirnir eru ekki fastir, skal gefa yfirlýsingu þar sem fram kemur tegund undirliggjandi þáttar og lýsing á þeim undirliggjandi þætti og aðferðinni sem notuð er til að tengja undirliggjandi þáttinn og vextina, ásamt því hvar upplýsingar sé að finna um fyrri árangur og framtíðarárangur undirliggjandi þáttar og flökt hans.</w:t>
            </w: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r w:rsidRPr="00F315A7">
              <w:rPr>
                <w:sz w:val="22"/>
                <w:szCs w:val="22"/>
                <w:lang w:val="is-IS"/>
              </w:rPr>
              <w:t>–    Lýsing á hvers kyns röskun á markaði eða atburðum sem valda röskun á greiðsluuppgjöri sem hafa  áhrif á undirliggjandi þætti.</w:t>
            </w: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r w:rsidRPr="00F315A7">
              <w:rPr>
                <w:sz w:val="22"/>
                <w:szCs w:val="22"/>
                <w:lang w:val="is-IS"/>
              </w:rPr>
              <w:t>–    Leiðréttingarreglur sem tengjast atburðum sem hafa áhrif á undirliggjandi þætti.</w:t>
            </w: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r w:rsidRPr="00F315A7">
              <w:rPr>
                <w:sz w:val="22"/>
                <w:szCs w:val="22"/>
                <w:lang w:val="is-IS"/>
              </w:rPr>
              <w:t>–    Nafn þess aðila sem sér um útreikning.</w:t>
            </w:r>
          </w:p>
          <w:p w:rsidR="00F315A7" w:rsidRPr="00F315A7" w:rsidRDefault="00F315A7" w:rsidP="00F315A7">
            <w:pPr>
              <w:autoSpaceDE w:val="0"/>
              <w:autoSpaceDN w:val="0"/>
              <w:adjustRightInd w:val="0"/>
              <w:rPr>
                <w:sz w:val="22"/>
                <w:szCs w:val="22"/>
                <w:lang w:val="is-IS"/>
              </w:rPr>
            </w:pPr>
          </w:p>
          <w:p w:rsidR="00F315A7" w:rsidRPr="00F315A7" w:rsidRDefault="00F315A7" w:rsidP="00F315A7">
            <w:pPr>
              <w:autoSpaceDE w:val="0"/>
              <w:autoSpaceDN w:val="0"/>
              <w:adjustRightInd w:val="0"/>
              <w:rPr>
                <w:sz w:val="22"/>
                <w:szCs w:val="22"/>
                <w:lang w:val="is-IS"/>
              </w:rPr>
            </w:pPr>
          </w:p>
          <w:p w:rsidR="005058E7" w:rsidRPr="00A126B5" w:rsidRDefault="00F315A7" w:rsidP="00F315A7">
            <w:pPr>
              <w:autoSpaceDE w:val="0"/>
              <w:autoSpaceDN w:val="0"/>
              <w:adjustRightInd w:val="0"/>
              <w:rPr>
                <w:sz w:val="22"/>
                <w:szCs w:val="22"/>
                <w:lang w:val="is-IS"/>
              </w:rPr>
            </w:pPr>
            <w:r w:rsidRPr="00F315A7">
              <w:rPr>
                <w:sz w:val="22"/>
                <w:szCs w:val="22"/>
                <w:lang w:val="is-IS"/>
              </w:rPr>
              <w:t>Ef vaxtagreiðslur af verðbréfinu byggjast á afleiðuþætti skal gefa skilmerkilega útskýringu til að hjálpa fjárfestum að skilja hvernig virði undirliggjandi gernings eða gerninga hefur áhrif á virði fjárfestinga þeirra, einkum við aðstæður þar sem áhættan er augljós.</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4.8.</w:t>
            </w:r>
          </w:p>
        </w:tc>
        <w:tc>
          <w:tcPr>
            <w:tcW w:w="7697" w:type="dxa"/>
            <w:vAlign w:val="center"/>
          </w:tcPr>
          <w:p w:rsidR="005058E7" w:rsidRPr="00A126B5" w:rsidRDefault="00486EEB" w:rsidP="00486EEB">
            <w:pPr>
              <w:autoSpaceDE w:val="0"/>
              <w:autoSpaceDN w:val="0"/>
              <w:adjustRightInd w:val="0"/>
              <w:rPr>
                <w:sz w:val="22"/>
                <w:szCs w:val="22"/>
                <w:lang w:val="is-IS"/>
              </w:rPr>
            </w:pPr>
            <w:r w:rsidRPr="00A126B5">
              <w:rPr>
                <w:sz w:val="22"/>
                <w:szCs w:val="22"/>
                <w:lang w:val="is-IS"/>
              </w:rPr>
              <w:t>Gjalddagi og fyrirkomulag á niðurgreiðslu lánsins, þ.m.t. hvernig endurgreiðslur fara fram. Ef fyrirhugað er að flýta niðurgreiðslu lánsins, að frumkvæði útgefanda eða handhafa verðbréfa, skal gera grein fyrir skilmálum og skilyrðum vegna niðurgreiðslunnar.</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8548E5" w:rsidP="00A12814">
            <w:pPr>
              <w:rPr>
                <w:b/>
                <w:sz w:val="22"/>
                <w:szCs w:val="22"/>
                <w:lang w:val="is-IS"/>
              </w:rPr>
            </w:pPr>
            <w:r w:rsidRPr="00A126B5">
              <w:rPr>
                <w:b/>
                <w:sz w:val="22"/>
                <w:szCs w:val="22"/>
                <w:lang w:val="is-IS"/>
              </w:rPr>
              <w:t>4.9.</w:t>
            </w:r>
          </w:p>
        </w:tc>
        <w:tc>
          <w:tcPr>
            <w:tcW w:w="7697" w:type="dxa"/>
            <w:vAlign w:val="center"/>
          </w:tcPr>
          <w:p w:rsidR="005058E7" w:rsidRPr="00A126B5" w:rsidRDefault="00486EEB" w:rsidP="00B5708E">
            <w:pPr>
              <w:autoSpaceDE w:val="0"/>
              <w:autoSpaceDN w:val="0"/>
              <w:adjustRightInd w:val="0"/>
              <w:rPr>
                <w:sz w:val="22"/>
                <w:szCs w:val="22"/>
                <w:lang w:val="is-IS"/>
              </w:rPr>
            </w:pPr>
            <w:r w:rsidRPr="00A126B5">
              <w:rPr>
                <w:sz w:val="22"/>
                <w:szCs w:val="22"/>
                <w:lang w:val="is-IS"/>
              </w:rPr>
              <w:t>Upplýsingar um ávöxtun. Lýsa skal í stuttu máli aðferðinni sem er notuð til að reikna út ávöxtunina.</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8548E5" w:rsidP="00A12814">
            <w:pPr>
              <w:rPr>
                <w:b/>
                <w:sz w:val="22"/>
                <w:szCs w:val="22"/>
                <w:lang w:val="is-IS"/>
              </w:rPr>
            </w:pPr>
            <w:r w:rsidRPr="00A126B5">
              <w:rPr>
                <w:b/>
                <w:sz w:val="22"/>
                <w:szCs w:val="22"/>
                <w:lang w:val="is-IS"/>
              </w:rPr>
              <w:t>4.10.</w:t>
            </w:r>
          </w:p>
        </w:tc>
        <w:tc>
          <w:tcPr>
            <w:tcW w:w="7697" w:type="dxa"/>
            <w:vAlign w:val="center"/>
          </w:tcPr>
          <w:p w:rsidR="005058E7" w:rsidRPr="00A126B5" w:rsidRDefault="00486EEB" w:rsidP="00486EEB">
            <w:pPr>
              <w:autoSpaceDE w:val="0"/>
              <w:autoSpaceDN w:val="0"/>
              <w:adjustRightInd w:val="0"/>
              <w:rPr>
                <w:sz w:val="22"/>
                <w:szCs w:val="22"/>
                <w:lang w:val="is-IS"/>
              </w:rPr>
            </w:pPr>
            <w:r w:rsidRPr="00A126B5">
              <w:rPr>
                <w:sz w:val="22"/>
                <w:szCs w:val="22"/>
                <w:lang w:val="is-IS"/>
              </w:rPr>
              <w:t>Fyrirsvar (</w:t>
            </w:r>
            <w:proofErr w:type="spellStart"/>
            <w:r w:rsidRPr="00A126B5">
              <w:rPr>
                <w:sz w:val="22"/>
                <w:szCs w:val="22"/>
                <w:lang w:val="is-IS"/>
              </w:rPr>
              <w:t>representation</w:t>
            </w:r>
            <w:proofErr w:type="spellEnd"/>
            <w:r w:rsidRPr="00A126B5">
              <w:rPr>
                <w:sz w:val="22"/>
                <w:szCs w:val="22"/>
                <w:lang w:val="is-IS"/>
              </w:rPr>
              <w:t>) fyrir handhafa skuldabréfa, þ.m.t. upplýsingar um stofnunina sem er í fyrirsvari fyrir fjárfestana og ákvæði sem gilda um slíkt fyrirsvar. Upplýsingar um hvar almenningur getur haft aðgang að samningum sem gerðir hafa verið um þessar aðferðir við fyrirsvar.</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8548E5" w:rsidP="00A12814">
            <w:pPr>
              <w:rPr>
                <w:b/>
                <w:sz w:val="22"/>
                <w:szCs w:val="22"/>
                <w:lang w:val="is-IS"/>
              </w:rPr>
            </w:pPr>
            <w:r w:rsidRPr="00A126B5">
              <w:rPr>
                <w:b/>
                <w:sz w:val="22"/>
                <w:szCs w:val="22"/>
                <w:lang w:val="is-IS"/>
              </w:rPr>
              <w:t>4.11.</w:t>
            </w:r>
          </w:p>
        </w:tc>
        <w:tc>
          <w:tcPr>
            <w:tcW w:w="7697" w:type="dxa"/>
            <w:vAlign w:val="center"/>
          </w:tcPr>
          <w:p w:rsidR="005058E7" w:rsidRPr="00A126B5" w:rsidRDefault="00486EEB" w:rsidP="00486EEB">
            <w:pPr>
              <w:autoSpaceDE w:val="0"/>
              <w:autoSpaceDN w:val="0"/>
              <w:adjustRightInd w:val="0"/>
              <w:rPr>
                <w:sz w:val="22"/>
                <w:szCs w:val="22"/>
                <w:lang w:val="is-IS"/>
              </w:rPr>
            </w:pPr>
            <w:r w:rsidRPr="00A126B5">
              <w:rPr>
                <w:sz w:val="22"/>
                <w:szCs w:val="22"/>
                <w:lang w:val="is-IS"/>
              </w:rPr>
              <w:t>Ef um er að ræða nýjar útgáfur skal gefa yfirlýsingu um ályktanir, heimildir og samþykktir sem hafa eða munu liggja til grundvallar stofnun eða útgáfu verðbréfa.</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8548E5" w:rsidP="00A12814">
            <w:pPr>
              <w:rPr>
                <w:b/>
                <w:sz w:val="22"/>
                <w:szCs w:val="22"/>
                <w:lang w:val="is-IS"/>
              </w:rPr>
            </w:pPr>
            <w:r w:rsidRPr="00A126B5">
              <w:rPr>
                <w:b/>
                <w:sz w:val="22"/>
                <w:szCs w:val="22"/>
                <w:lang w:val="is-IS"/>
              </w:rPr>
              <w:t>4.12.</w:t>
            </w:r>
          </w:p>
        </w:tc>
        <w:tc>
          <w:tcPr>
            <w:tcW w:w="7697" w:type="dxa"/>
            <w:vAlign w:val="center"/>
          </w:tcPr>
          <w:p w:rsidR="005058E7" w:rsidRPr="00A126B5" w:rsidRDefault="00486EEB" w:rsidP="00B5708E">
            <w:pPr>
              <w:autoSpaceDE w:val="0"/>
              <w:autoSpaceDN w:val="0"/>
              <w:adjustRightInd w:val="0"/>
              <w:rPr>
                <w:sz w:val="22"/>
                <w:szCs w:val="22"/>
                <w:lang w:val="is-IS"/>
              </w:rPr>
            </w:pPr>
            <w:r w:rsidRPr="00A126B5">
              <w:rPr>
                <w:sz w:val="22"/>
                <w:szCs w:val="22"/>
                <w:lang w:val="is-IS"/>
              </w:rPr>
              <w:t>Ef um er að ræða nýjar útgáfur skal tilgreina væntanlegan útgáfudag verðbréfanna.</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8548E5" w:rsidP="00A12814">
            <w:pPr>
              <w:rPr>
                <w:b/>
                <w:sz w:val="22"/>
                <w:szCs w:val="22"/>
                <w:lang w:val="is-IS"/>
              </w:rPr>
            </w:pPr>
            <w:r w:rsidRPr="00A126B5">
              <w:rPr>
                <w:b/>
                <w:sz w:val="22"/>
                <w:szCs w:val="22"/>
                <w:lang w:val="is-IS"/>
              </w:rPr>
              <w:t>4.13.</w:t>
            </w:r>
          </w:p>
        </w:tc>
        <w:tc>
          <w:tcPr>
            <w:tcW w:w="7697" w:type="dxa"/>
            <w:vAlign w:val="center"/>
          </w:tcPr>
          <w:p w:rsidR="005058E7" w:rsidRPr="00A126B5" w:rsidRDefault="00486EEB" w:rsidP="00B5708E">
            <w:pPr>
              <w:autoSpaceDE w:val="0"/>
              <w:autoSpaceDN w:val="0"/>
              <w:adjustRightInd w:val="0"/>
              <w:rPr>
                <w:sz w:val="22"/>
                <w:szCs w:val="22"/>
                <w:lang w:val="is-IS"/>
              </w:rPr>
            </w:pPr>
            <w:r w:rsidRPr="00A126B5">
              <w:rPr>
                <w:sz w:val="22"/>
                <w:szCs w:val="22"/>
                <w:lang w:val="is-IS"/>
              </w:rPr>
              <w:t>Lýsing á hvers kyns takmörkunum á frjálsu framsali á verðbréfunum.</w:t>
            </w:r>
          </w:p>
        </w:tc>
      </w:tr>
      <w:tr w:rsidR="005058E7" w:rsidRPr="00A126B5" w:rsidTr="00A126B5">
        <w:tc>
          <w:tcPr>
            <w:tcW w:w="1101" w:type="dxa"/>
          </w:tcPr>
          <w:p w:rsidR="005058E7" w:rsidRPr="00A126B5" w:rsidRDefault="005058E7" w:rsidP="00A12814">
            <w:pPr>
              <w:rPr>
                <w:sz w:val="22"/>
                <w:szCs w:val="22"/>
                <w:lang w:val="is-IS"/>
              </w:rPr>
            </w:pPr>
          </w:p>
        </w:tc>
        <w:tc>
          <w:tcPr>
            <w:tcW w:w="850" w:type="dxa"/>
          </w:tcPr>
          <w:p w:rsidR="005058E7" w:rsidRPr="00A126B5" w:rsidRDefault="008548E5" w:rsidP="00A12814">
            <w:pPr>
              <w:rPr>
                <w:b/>
                <w:sz w:val="22"/>
                <w:szCs w:val="22"/>
                <w:lang w:val="is-IS"/>
              </w:rPr>
            </w:pPr>
            <w:r w:rsidRPr="00A126B5">
              <w:rPr>
                <w:b/>
                <w:sz w:val="22"/>
                <w:szCs w:val="22"/>
                <w:lang w:val="is-IS"/>
              </w:rPr>
              <w:t>4.14.</w:t>
            </w:r>
          </w:p>
        </w:tc>
        <w:tc>
          <w:tcPr>
            <w:tcW w:w="7697" w:type="dxa"/>
            <w:vAlign w:val="center"/>
          </w:tcPr>
          <w:p w:rsidR="00486EEB" w:rsidRDefault="00486EEB" w:rsidP="00486EEB">
            <w:pPr>
              <w:autoSpaceDE w:val="0"/>
              <w:autoSpaceDN w:val="0"/>
              <w:adjustRightInd w:val="0"/>
              <w:rPr>
                <w:sz w:val="22"/>
                <w:szCs w:val="22"/>
                <w:lang w:val="is-IS"/>
              </w:rPr>
            </w:pPr>
            <w:r w:rsidRPr="00A126B5">
              <w:rPr>
                <w:sz w:val="22"/>
                <w:szCs w:val="22"/>
                <w:lang w:val="is-IS"/>
              </w:rPr>
              <w:t>Að því er varðar landið þar sem útgefandi hefur skráða skrifstofu og land eða lönd þar sem útboð verðbréfa fer fram eða þar sem óskað er eftir skráningu skal tilgreina eftirfarandi:</w:t>
            </w:r>
          </w:p>
          <w:p w:rsidR="00A126B5" w:rsidRPr="00A126B5" w:rsidRDefault="00A126B5" w:rsidP="00486EEB">
            <w:pPr>
              <w:autoSpaceDE w:val="0"/>
              <w:autoSpaceDN w:val="0"/>
              <w:adjustRightInd w:val="0"/>
              <w:rPr>
                <w:sz w:val="22"/>
                <w:szCs w:val="22"/>
                <w:lang w:val="is-IS"/>
              </w:rPr>
            </w:pPr>
          </w:p>
          <w:p w:rsidR="00486EEB" w:rsidRDefault="00486EEB" w:rsidP="00486EEB">
            <w:pPr>
              <w:pStyle w:val="ListParagraph"/>
              <w:numPr>
                <w:ilvl w:val="0"/>
                <w:numId w:val="9"/>
              </w:numPr>
              <w:autoSpaceDE w:val="0"/>
              <w:autoSpaceDN w:val="0"/>
              <w:adjustRightInd w:val="0"/>
              <w:rPr>
                <w:sz w:val="22"/>
                <w:szCs w:val="22"/>
                <w:lang w:val="is-IS"/>
              </w:rPr>
            </w:pPr>
            <w:r w:rsidRPr="00A126B5">
              <w:rPr>
                <w:sz w:val="22"/>
                <w:szCs w:val="22"/>
                <w:lang w:val="is-IS"/>
              </w:rPr>
              <w:t>Upplýsingar um skatta af verðbréfunum sem haldið er eftir til staðgreiðslu,</w:t>
            </w:r>
          </w:p>
          <w:p w:rsidR="00A126B5" w:rsidRPr="00A126B5" w:rsidRDefault="00A126B5" w:rsidP="00A126B5">
            <w:pPr>
              <w:pStyle w:val="ListParagraph"/>
              <w:autoSpaceDE w:val="0"/>
              <w:autoSpaceDN w:val="0"/>
              <w:adjustRightInd w:val="0"/>
              <w:rPr>
                <w:sz w:val="22"/>
                <w:szCs w:val="22"/>
                <w:lang w:val="is-IS"/>
              </w:rPr>
            </w:pPr>
          </w:p>
          <w:p w:rsidR="005058E7" w:rsidRPr="00A126B5" w:rsidRDefault="00486EEB" w:rsidP="00486EEB">
            <w:pPr>
              <w:pStyle w:val="ListParagraph"/>
              <w:numPr>
                <w:ilvl w:val="0"/>
                <w:numId w:val="9"/>
              </w:numPr>
              <w:autoSpaceDE w:val="0"/>
              <w:autoSpaceDN w:val="0"/>
              <w:adjustRightInd w:val="0"/>
              <w:rPr>
                <w:sz w:val="22"/>
                <w:szCs w:val="22"/>
                <w:lang w:val="is-IS"/>
              </w:rPr>
            </w:pPr>
            <w:r w:rsidRPr="00A126B5">
              <w:rPr>
                <w:sz w:val="22"/>
                <w:szCs w:val="22"/>
                <w:lang w:val="is-IS"/>
              </w:rPr>
              <w:t>upplýsingar um hvort útgefandi ábyrgist að staðgreiðsluskatti sé haldið eftir.</w:t>
            </w:r>
          </w:p>
        </w:tc>
      </w:tr>
      <w:tr w:rsidR="008548E5" w:rsidRPr="00A126B5" w:rsidTr="00A126B5">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w:t>
            </w:r>
          </w:p>
        </w:tc>
        <w:tc>
          <w:tcPr>
            <w:tcW w:w="7697" w:type="dxa"/>
            <w:vAlign w:val="center"/>
          </w:tcPr>
          <w:p w:rsidR="008548E5" w:rsidRPr="00A126B5" w:rsidRDefault="00486EEB" w:rsidP="003665B6">
            <w:pPr>
              <w:tabs>
                <w:tab w:val="left" w:pos="7485"/>
              </w:tabs>
              <w:rPr>
                <w:b/>
                <w:sz w:val="22"/>
                <w:szCs w:val="22"/>
                <w:lang w:val="da-DK"/>
              </w:rPr>
            </w:pPr>
            <w:r w:rsidRPr="00A126B5">
              <w:rPr>
                <w:b/>
                <w:sz w:val="22"/>
                <w:szCs w:val="22"/>
                <w:lang w:val="da-DK"/>
              </w:rPr>
              <w:t>SKILMÁLAR OG SKILYRÐI FYRIR ÚTBOÐINU</w:t>
            </w:r>
          </w:p>
        </w:tc>
      </w:tr>
      <w:tr w:rsidR="008548E5" w:rsidRPr="00A126B5" w:rsidTr="00A126B5">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5.1.</w:t>
            </w:r>
          </w:p>
        </w:tc>
        <w:tc>
          <w:tcPr>
            <w:tcW w:w="7697" w:type="dxa"/>
            <w:vAlign w:val="center"/>
          </w:tcPr>
          <w:p w:rsidR="008548E5" w:rsidRPr="00A126B5" w:rsidRDefault="00486EEB" w:rsidP="00486EEB">
            <w:pPr>
              <w:tabs>
                <w:tab w:val="left" w:pos="7485"/>
              </w:tabs>
              <w:rPr>
                <w:b/>
                <w:sz w:val="22"/>
                <w:szCs w:val="22"/>
                <w:lang w:val="da-DK"/>
              </w:rPr>
            </w:pPr>
            <w:r w:rsidRPr="00A126B5">
              <w:rPr>
                <w:i/>
                <w:sz w:val="22"/>
                <w:szCs w:val="22"/>
                <w:lang w:val="da-DK"/>
              </w:rPr>
              <w:t>Skilyrði, tölfræðilegar upplýsingar um útboð, fyrirhuguð tímaáætlun og nauðsynlegar aðgerðir varðandi þátttöku í útboðinu</w:t>
            </w:r>
          </w:p>
        </w:tc>
      </w:tr>
      <w:tr w:rsidR="008548E5" w:rsidRPr="00A126B5" w:rsidTr="00A126B5">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5.1.1.</w:t>
            </w:r>
          </w:p>
        </w:tc>
        <w:tc>
          <w:tcPr>
            <w:tcW w:w="7697" w:type="dxa"/>
            <w:vAlign w:val="center"/>
          </w:tcPr>
          <w:p w:rsidR="008548E5" w:rsidRPr="00A126B5" w:rsidRDefault="00486EEB" w:rsidP="003665B6">
            <w:pPr>
              <w:tabs>
                <w:tab w:val="left" w:pos="7485"/>
              </w:tabs>
              <w:rPr>
                <w:sz w:val="22"/>
                <w:szCs w:val="22"/>
                <w:lang w:val="is-IS"/>
              </w:rPr>
            </w:pPr>
            <w:r w:rsidRPr="00A126B5">
              <w:rPr>
                <w:sz w:val="22"/>
                <w:szCs w:val="22"/>
                <w:lang w:val="is-IS" w:eastAsia="is-IS"/>
              </w:rPr>
              <w:t>Skilyrði sem gilda um útboðið.</w:t>
            </w:r>
          </w:p>
        </w:tc>
      </w:tr>
      <w:tr w:rsidR="008548E5" w:rsidRPr="00A126B5" w:rsidTr="00A126B5">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5.1.2.</w:t>
            </w:r>
          </w:p>
        </w:tc>
        <w:tc>
          <w:tcPr>
            <w:tcW w:w="7697" w:type="dxa"/>
            <w:vAlign w:val="center"/>
          </w:tcPr>
          <w:p w:rsidR="008548E5" w:rsidRPr="00A126B5" w:rsidRDefault="00486EEB" w:rsidP="00486EEB">
            <w:pPr>
              <w:rPr>
                <w:sz w:val="22"/>
                <w:szCs w:val="22"/>
                <w:lang w:val="is-IS"/>
              </w:rPr>
            </w:pPr>
            <w:r w:rsidRPr="00A126B5">
              <w:rPr>
                <w:sz w:val="22"/>
                <w:szCs w:val="22"/>
                <w:lang w:val="is-IS" w:eastAsia="is-IS"/>
              </w:rPr>
              <w:t>Heildarfjárhæð útgáfunnar/útboðsins, en ef fjárhæðin er ekki föst skal lýsa hvernig og hvenær endanleg fjárhæð útboðsins verður tilkynnt opinberlega.</w:t>
            </w:r>
          </w:p>
        </w:tc>
      </w:tr>
      <w:tr w:rsidR="008548E5" w:rsidRPr="00A126B5" w:rsidTr="00A126B5">
        <w:trPr>
          <w:trHeight w:val="509"/>
        </w:trPr>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5.1.3.</w:t>
            </w:r>
          </w:p>
        </w:tc>
        <w:tc>
          <w:tcPr>
            <w:tcW w:w="7697" w:type="dxa"/>
            <w:vAlign w:val="center"/>
          </w:tcPr>
          <w:p w:rsidR="008548E5" w:rsidRPr="00A126B5" w:rsidRDefault="00486EEB" w:rsidP="00486EEB">
            <w:pPr>
              <w:rPr>
                <w:b/>
                <w:sz w:val="22"/>
                <w:szCs w:val="22"/>
                <w:lang w:val="da-DK"/>
              </w:rPr>
            </w:pPr>
            <w:r w:rsidRPr="00A126B5">
              <w:rPr>
                <w:sz w:val="22"/>
                <w:szCs w:val="22"/>
                <w:lang w:val="is-IS" w:eastAsia="is-IS"/>
              </w:rPr>
              <w:t>Upplýsingar um hversu lengi útboðið stendur, þ.m.t. hvers kyns mögulegar breytingar, og lýsing á áskriftarferlinu.</w:t>
            </w:r>
          </w:p>
        </w:tc>
      </w:tr>
      <w:tr w:rsidR="008548E5" w:rsidRPr="00A126B5" w:rsidTr="00A126B5">
        <w:trPr>
          <w:trHeight w:val="351"/>
        </w:trPr>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5.1.4.</w:t>
            </w:r>
          </w:p>
        </w:tc>
        <w:tc>
          <w:tcPr>
            <w:tcW w:w="7697" w:type="dxa"/>
            <w:vAlign w:val="center"/>
          </w:tcPr>
          <w:p w:rsidR="008548E5" w:rsidRPr="00A126B5" w:rsidRDefault="00486EEB" w:rsidP="00486EEB">
            <w:pPr>
              <w:autoSpaceDE w:val="0"/>
              <w:autoSpaceDN w:val="0"/>
              <w:adjustRightInd w:val="0"/>
              <w:rPr>
                <w:sz w:val="22"/>
                <w:szCs w:val="22"/>
                <w:lang w:val="da-DK"/>
              </w:rPr>
            </w:pPr>
            <w:r w:rsidRPr="00A126B5">
              <w:rPr>
                <w:sz w:val="22"/>
                <w:szCs w:val="22"/>
                <w:lang w:val="is-IS" w:eastAsia="is-IS"/>
              </w:rPr>
              <w:t>Upplýsingar um mögulegar skerðingar á áskriftum og með hvaða hætti endurgreiðsla umframfjárhæða sem umsækjendur hafa greitt fer fram.</w:t>
            </w:r>
          </w:p>
        </w:tc>
      </w:tr>
      <w:tr w:rsidR="008548E5" w:rsidRPr="00A126B5" w:rsidTr="00A126B5">
        <w:trPr>
          <w:trHeight w:val="361"/>
        </w:trPr>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5.1.5.</w:t>
            </w:r>
          </w:p>
        </w:tc>
        <w:tc>
          <w:tcPr>
            <w:tcW w:w="7697" w:type="dxa"/>
            <w:vAlign w:val="center"/>
          </w:tcPr>
          <w:p w:rsidR="008548E5" w:rsidRPr="00A126B5" w:rsidRDefault="00486EEB" w:rsidP="00486EEB">
            <w:pPr>
              <w:autoSpaceDE w:val="0"/>
              <w:autoSpaceDN w:val="0"/>
              <w:adjustRightInd w:val="0"/>
              <w:rPr>
                <w:sz w:val="22"/>
                <w:szCs w:val="22"/>
                <w:lang w:val="is-IS" w:eastAsia="is-IS"/>
              </w:rPr>
            </w:pPr>
            <w:r w:rsidRPr="00A126B5">
              <w:rPr>
                <w:sz w:val="22"/>
                <w:szCs w:val="22"/>
                <w:lang w:val="is-IS" w:eastAsia="is-IS"/>
              </w:rPr>
              <w:t>Ítarlegar upplýsingar um lágmarks- og/eða hámarksfjárhæð áskriftar (hvort sem um er að ræða fjölda verðbréfa eða samanlagða fjárfestingarfjárhæð).</w:t>
            </w:r>
          </w:p>
        </w:tc>
      </w:tr>
      <w:tr w:rsidR="00486EEB" w:rsidRPr="00A126B5" w:rsidTr="00A126B5">
        <w:trPr>
          <w:trHeight w:val="342"/>
        </w:trPr>
        <w:tc>
          <w:tcPr>
            <w:tcW w:w="1101" w:type="dxa"/>
          </w:tcPr>
          <w:p w:rsidR="00486EEB" w:rsidRPr="00A126B5" w:rsidRDefault="00486EEB" w:rsidP="00A12814">
            <w:pPr>
              <w:rPr>
                <w:sz w:val="22"/>
                <w:szCs w:val="22"/>
                <w:lang w:val="is-IS"/>
              </w:rPr>
            </w:pPr>
          </w:p>
        </w:tc>
        <w:tc>
          <w:tcPr>
            <w:tcW w:w="850" w:type="dxa"/>
          </w:tcPr>
          <w:p w:rsidR="00486EEB" w:rsidRPr="00A126B5" w:rsidRDefault="00486EEB" w:rsidP="00A12814">
            <w:pPr>
              <w:rPr>
                <w:b/>
                <w:sz w:val="22"/>
                <w:szCs w:val="22"/>
                <w:lang w:val="is-IS"/>
              </w:rPr>
            </w:pPr>
            <w:r w:rsidRPr="00A126B5">
              <w:rPr>
                <w:b/>
                <w:sz w:val="22"/>
                <w:szCs w:val="22"/>
                <w:lang w:val="is-IS"/>
              </w:rPr>
              <w:t>5.1.6.</w:t>
            </w:r>
          </w:p>
        </w:tc>
        <w:tc>
          <w:tcPr>
            <w:tcW w:w="7697" w:type="dxa"/>
            <w:vAlign w:val="center"/>
          </w:tcPr>
          <w:p w:rsidR="00486EEB" w:rsidRPr="00A126B5" w:rsidRDefault="00486EEB" w:rsidP="009C0ABD">
            <w:pPr>
              <w:autoSpaceDE w:val="0"/>
              <w:autoSpaceDN w:val="0"/>
              <w:adjustRightInd w:val="0"/>
              <w:rPr>
                <w:sz w:val="22"/>
                <w:szCs w:val="22"/>
                <w:lang w:val="is-IS" w:eastAsia="is-IS"/>
              </w:rPr>
            </w:pPr>
            <w:r w:rsidRPr="00A126B5">
              <w:rPr>
                <w:sz w:val="22"/>
                <w:szCs w:val="22"/>
                <w:lang w:val="is-IS" w:eastAsia="is-IS"/>
              </w:rPr>
              <w:t>Skipulag og tímamörk fyrir greiðslu og afhendingu verðbréfa.</w:t>
            </w:r>
          </w:p>
        </w:tc>
      </w:tr>
      <w:tr w:rsidR="00486EEB" w:rsidRPr="00A126B5" w:rsidTr="00A126B5">
        <w:trPr>
          <w:trHeight w:val="342"/>
        </w:trPr>
        <w:tc>
          <w:tcPr>
            <w:tcW w:w="1101" w:type="dxa"/>
          </w:tcPr>
          <w:p w:rsidR="00486EEB" w:rsidRPr="00A126B5" w:rsidRDefault="00486EEB" w:rsidP="00A12814">
            <w:pPr>
              <w:rPr>
                <w:sz w:val="22"/>
                <w:szCs w:val="22"/>
                <w:lang w:val="is-IS"/>
              </w:rPr>
            </w:pPr>
          </w:p>
        </w:tc>
        <w:tc>
          <w:tcPr>
            <w:tcW w:w="850" w:type="dxa"/>
          </w:tcPr>
          <w:p w:rsidR="00486EEB" w:rsidRPr="00A126B5" w:rsidRDefault="00486EEB" w:rsidP="00A12814">
            <w:pPr>
              <w:rPr>
                <w:b/>
                <w:sz w:val="22"/>
                <w:szCs w:val="22"/>
                <w:lang w:val="is-IS"/>
              </w:rPr>
            </w:pPr>
            <w:r w:rsidRPr="00A126B5">
              <w:rPr>
                <w:b/>
                <w:sz w:val="22"/>
                <w:szCs w:val="22"/>
                <w:lang w:val="is-IS"/>
              </w:rPr>
              <w:t>5.1.7.</w:t>
            </w:r>
          </w:p>
        </w:tc>
        <w:tc>
          <w:tcPr>
            <w:tcW w:w="7697" w:type="dxa"/>
            <w:vAlign w:val="center"/>
          </w:tcPr>
          <w:p w:rsidR="00486EEB" w:rsidRPr="00A126B5" w:rsidRDefault="00486EEB" w:rsidP="009C0ABD">
            <w:pPr>
              <w:autoSpaceDE w:val="0"/>
              <w:autoSpaceDN w:val="0"/>
              <w:adjustRightInd w:val="0"/>
              <w:rPr>
                <w:sz w:val="22"/>
                <w:szCs w:val="22"/>
                <w:lang w:val="is-IS" w:eastAsia="is-IS"/>
              </w:rPr>
            </w:pPr>
            <w:r w:rsidRPr="00A126B5">
              <w:rPr>
                <w:sz w:val="22"/>
                <w:szCs w:val="22"/>
                <w:lang w:val="is-IS" w:eastAsia="is-IS"/>
              </w:rPr>
              <w:t>Ítarleg lýsing á því hvernig og hvenær niðurstöður útboðsins verða birtar opinberlega.</w:t>
            </w:r>
          </w:p>
        </w:tc>
      </w:tr>
      <w:tr w:rsidR="00486EEB" w:rsidRPr="00A126B5" w:rsidTr="00A126B5">
        <w:trPr>
          <w:trHeight w:val="342"/>
        </w:trPr>
        <w:tc>
          <w:tcPr>
            <w:tcW w:w="1101" w:type="dxa"/>
          </w:tcPr>
          <w:p w:rsidR="00486EEB" w:rsidRPr="00A126B5" w:rsidRDefault="00486EEB" w:rsidP="00A12814">
            <w:pPr>
              <w:rPr>
                <w:sz w:val="22"/>
                <w:szCs w:val="22"/>
                <w:lang w:val="is-IS"/>
              </w:rPr>
            </w:pPr>
          </w:p>
        </w:tc>
        <w:tc>
          <w:tcPr>
            <w:tcW w:w="850" w:type="dxa"/>
          </w:tcPr>
          <w:p w:rsidR="00486EEB" w:rsidRPr="00A126B5" w:rsidRDefault="00486EEB" w:rsidP="00A12814">
            <w:pPr>
              <w:rPr>
                <w:b/>
                <w:sz w:val="22"/>
                <w:szCs w:val="22"/>
                <w:lang w:val="is-IS"/>
              </w:rPr>
            </w:pPr>
            <w:r w:rsidRPr="00A126B5">
              <w:rPr>
                <w:b/>
                <w:sz w:val="22"/>
                <w:szCs w:val="22"/>
                <w:lang w:val="is-IS"/>
              </w:rPr>
              <w:t>5.1.8.</w:t>
            </w:r>
          </w:p>
        </w:tc>
        <w:tc>
          <w:tcPr>
            <w:tcW w:w="7697" w:type="dxa"/>
            <w:vAlign w:val="center"/>
          </w:tcPr>
          <w:p w:rsidR="00486EEB" w:rsidRPr="00A126B5" w:rsidRDefault="00486EEB" w:rsidP="00486EEB">
            <w:pPr>
              <w:autoSpaceDE w:val="0"/>
              <w:autoSpaceDN w:val="0"/>
              <w:adjustRightInd w:val="0"/>
              <w:rPr>
                <w:sz w:val="22"/>
                <w:szCs w:val="22"/>
                <w:lang w:val="is-IS" w:eastAsia="is-IS"/>
              </w:rPr>
            </w:pPr>
            <w:r w:rsidRPr="00A126B5">
              <w:rPr>
                <w:sz w:val="22"/>
                <w:szCs w:val="22"/>
                <w:lang w:val="is-IS" w:eastAsia="is-IS"/>
              </w:rPr>
              <w:t>Málsmeðferð varðandi nýtingu forgangsréttar; framsalshæfi áskriftarréttar og hvernig farið skuli með áskriftarrétt sem ekki er nýttur.</w:t>
            </w:r>
          </w:p>
        </w:tc>
      </w:tr>
      <w:tr w:rsidR="008548E5" w:rsidRPr="00A126B5" w:rsidTr="00A126B5">
        <w:trPr>
          <w:trHeight w:val="342"/>
        </w:trPr>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5.2.</w:t>
            </w:r>
          </w:p>
        </w:tc>
        <w:tc>
          <w:tcPr>
            <w:tcW w:w="7697" w:type="dxa"/>
            <w:vAlign w:val="center"/>
          </w:tcPr>
          <w:p w:rsidR="008548E5" w:rsidRPr="00A126B5" w:rsidRDefault="00C25898" w:rsidP="009C0ABD">
            <w:pPr>
              <w:autoSpaceDE w:val="0"/>
              <w:autoSpaceDN w:val="0"/>
              <w:adjustRightInd w:val="0"/>
              <w:rPr>
                <w:sz w:val="22"/>
                <w:szCs w:val="22"/>
                <w:lang w:val="is-IS" w:eastAsia="is-IS"/>
              </w:rPr>
            </w:pPr>
            <w:r w:rsidRPr="00A126B5">
              <w:rPr>
                <w:i/>
                <w:iCs/>
                <w:sz w:val="22"/>
                <w:szCs w:val="22"/>
                <w:lang w:val="is-IS" w:eastAsia="is-IS"/>
              </w:rPr>
              <w:t>Skipulag dreifingar og úthlutunar</w:t>
            </w:r>
          </w:p>
        </w:tc>
      </w:tr>
      <w:tr w:rsidR="008548E5" w:rsidRPr="00A126B5" w:rsidTr="00A126B5">
        <w:trPr>
          <w:trHeight w:val="339"/>
        </w:trPr>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5.2.1.</w:t>
            </w:r>
          </w:p>
        </w:tc>
        <w:tc>
          <w:tcPr>
            <w:tcW w:w="7697" w:type="dxa"/>
            <w:vAlign w:val="center"/>
          </w:tcPr>
          <w:p w:rsidR="008548E5" w:rsidRPr="00A126B5" w:rsidRDefault="00C25898" w:rsidP="00C25898">
            <w:pPr>
              <w:rPr>
                <w:sz w:val="22"/>
                <w:szCs w:val="22"/>
                <w:lang w:val="is-IS"/>
              </w:rPr>
            </w:pPr>
            <w:r w:rsidRPr="00A126B5">
              <w:rPr>
                <w:sz w:val="22"/>
                <w:szCs w:val="22"/>
                <w:lang w:val="is-IS" w:eastAsia="is-IS"/>
              </w:rPr>
              <w:t>Mismunandi flokkar mögulegra fjárfesta sem verðbréfin eru boðin til kaups. Ef útboð fer fram samtímis á mörkuðum í tveimur eða fleiri löndum og ef ákveðinn hluti hefur verið tekinn eða er tekinn frá fyrir einhverja af þessum mörkuðum skulu allir slíkir hlutar tilgreindir.</w:t>
            </w:r>
          </w:p>
        </w:tc>
      </w:tr>
      <w:tr w:rsidR="008548E5" w:rsidRPr="00A126B5" w:rsidTr="00A126B5">
        <w:tc>
          <w:tcPr>
            <w:tcW w:w="1101" w:type="dxa"/>
          </w:tcPr>
          <w:p w:rsidR="008548E5" w:rsidRPr="00A126B5" w:rsidRDefault="008548E5" w:rsidP="00A12814">
            <w:pPr>
              <w:rPr>
                <w:sz w:val="22"/>
                <w:szCs w:val="22"/>
                <w:lang w:val="is-IS"/>
              </w:rPr>
            </w:pPr>
          </w:p>
        </w:tc>
        <w:tc>
          <w:tcPr>
            <w:tcW w:w="850" w:type="dxa"/>
          </w:tcPr>
          <w:p w:rsidR="008548E5" w:rsidRPr="00A126B5" w:rsidRDefault="008548E5" w:rsidP="00A12814">
            <w:pPr>
              <w:rPr>
                <w:b/>
                <w:sz w:val="22"/>
                <w:szCs w:val="22"/>
                <w:lang w:val="is-IS"/>
              </w:rPr>
            </w:pPr>
            <w:r w:rsidRPr="00A126B5">
              <w:rPr>
                <w:b/>
                <w:sz w:val="22"/>
                <w:szCs w:val="22"/>
                <w:lang w:val="is-IS"/>
              </w:rPr>
              <w:t>5.2.2.</w:t>
            </w:r>
          </w:p>
        </w:tc>
        <w:tc>
          <w:tcPr>
            <w:tcW w:w="7697" w:type="dxa"/>
            <w:vAlign w:val="center"/>
          </w:tcPr>
          <w:p w:rsidR="008548E5" w:rsidRPr="00A126B5" w:rsidRDefault="00C25898" w:rsidP="00C25898">
            <w:pPr>
              <w:rPr>
                <w:sz w:val="22"/>
                <w:szCs w:val="22"/>
                <w:lang w:val="is-IS"/>
              </w:rPr>
            </w:pPr>
            <w:r w:rsidRPr="00A126B5">
              <w:rPr>
                <w:sz w:val="22"/>
                <w:szCs w:val="22"/>
                <w:lang w:val="is-IS" w:eastAsia="is-IS"/>
              </w:rPr>
              <w:t>Aðferð við tilkynningu til umsækjenda um fjárhæðina sem þeim er úthlutað, ásamt upplýsingum um hvort viðskipti megi hefjast áður en tilkynning berst þeim.</w:t>
            </w:r>
          </w:p>
        </w:tc>
      </w:tr>
      <w:tr w:rsidR="008548E5" w:rsidRPr="00A126B5" w:rsidTr="00A126B5">
        <w:trPr>
          <w:trHeight w:val="314"/>
        </w:trPr>
        <w:tc>
          <w:tcPr>
            <w:tcW w:w="1101" w:type="dxa"/>
          </w:tcPr>
          <w:p w:rsidR="008548E5" w:rsidRPr="00A126B5" w:rsidRDefault="008548E5" w:rsidP="00A12814">
            <w:pPr>
              <w:rPr>
                <w:sz w:val="22"/>
                <w:szCs w:val="22"/>
                <w:lang w:val="is-IS"/>
              </w:rPr>
            </w:pPr>
          </w:p>
        </w:tc>
        <w:tc>
          <w:tcPr>
            <w:tcW w:w="850" w:type="dxa"/>
          </w:tcPr>
          <w:p w:rsidR="008548E5" w:rsidRPr="00A126B5" w:rsidRDefault="00C25898" w:rsidP="00A12814">
            <w:pPr>
              <w:rPr>
                <w:b/>
                <w:sz w:val="22"/>
                <w:szCs w:val="22"/>
                <w:lang w:val="is-IS"/>
              </w:rPr>
            </w:pPr>
            <w:r w:rsidRPr="00A126B5">
              <w:rPr>
                <w:b/>
                <w:sz w:val="22"/>
                <w:szCs w:val="22"/>
                <w:lang w:val="is-IS"/>
              </w:rPr>
              <w:t>5</w:t>
            </w:r>
            <w:r w:rsidR="008548E5" w:rsidRPr="00A126B5">
              <w:rPr>
                <w:b/>
                <w:sz w:val="22"/>
                <w:szCs w:val="22"/>
                <w:lang w:val="is-IS"/>
              </w:rPr>
              <w:t>.3.</w:t>
            </w:r>
          </w:p>
        </w:tc>
        <w:tc>
          <w:tcPr>
            <w:tcW w:w="7697" w:type="dxa"/>
            <w:vAlign w:val="center"/>
          </w:tcPr>
          <w:p w:rsidR="008548E5" w:rsidRPr="00A126B5" w:rsidRDefault="00C25898" w:rsidP="008A365F">
            <w:pPr>
              <w:rPr>
                <w:sz w:val="22"/>
                <w:szCs w:val="22"/>
                <w:lang w:val="is-IS"/>
              </w:rPr>
            </w:pPr>
            <w:r w:rsidRPr="00A126B5">
              <w:rPr>
                <w:i/>
                <w:iCs/>
                <w:sz w:val="22"/>
                <w:szCs w:val="22"/>
                <w:lang w:val="is-IS" w:eastAsia="is-IS"/>
              </w:rPr>
              <w:t>Verðlagning</w:t>
            </w:r>
          </w:p>
        </w:tc>
      </w:tr>
      <w:tr w:rsidR="00C25898" w:rsidRPr="00A126B5" w:rsidTr="00A126B5">
        <w:trPr>
          <w:trHeight w:val="333"/>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5.3.1.</w:t>
            </w:r>
          </w:p>
        </w:tc>
        <w:tc>
          <w:tcPr>
            <w:tcW w:w="7697" w:type="dxa"/>
            <w:vAlign w:val="center"/>
          </w:tcPr>
          <w:p w:rsidR="00C25898" w:rsidRPr="00A126B5" w:rsidRDefault="00C25898" w:rsidP="00C25898">
            <w:pPr>
              <w:rPr>
                <w:b/>
                <w:bCs/>
                <w:sz w:val="22"/>
                <w:szCs w:val="22"/>
                <w:lang w:val="is-IS" w:eastAsia="is-IS"/>
              </w:rPr>
            </w:pPr>
            <w:r w:rsidRPr="00A126B5">
              <w:rPr>
                <w:sz w:val="22"/>
                <w:szCs w:val="22"/>
                <w:lang w:val="is-IS" w:eastAsia="is-IS"/>
              </w:rPr>
              <w:t>Tilgreina skal verðið sem verðbréfin verða boðin til kaups á eða aðferð sem er notuð til að ákvarða útboðsverð og aðferð við birtingu þess. Upplýsa skal um fjárhæð allra útgjalda og skatta sem áskrifandi eða kaupandi verða sérstaklega krafðir um.</w:t>
            </w:r>
          </w:p>
        </w:tc>
      </w:tr>
      <w:tr w:rsidR="00C25898" w:rsidRPr="00A126B5" w:rsidTr="00A126B5">
        <w:trPr>
          <w:trHeight w:val="333"/>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5.4.</w:t>
            </w:r>
          </w:p>
        </w:tc>
        <w:tc>
          <w:tcPr>
            <w:tcW w:w="7697" w:type="dxa"/>
            <w:vAlign w:val="center"/>
          </w:tcPr>
          <w:p w:rsidR="00C25898" w:rsidRPr="00A126B5" w:rsidRDefault="00C25898" w:rsidP="009C0ABD">
            <w:pPr>
              <w:autoSpaceDE w:val="0"/>
              <w:autoSpaceDN w:val="0"/>
              <w:adjustRightInd w:val="0"/>
              <w:rPr>
                <w:b/>
                <w:bCs/>
                <w:sz w:val="22"/>
                <w:szCs w:val="22"/>
                <w:lang w:val="is-IS" w:eastAsia="is-IS"/>
              </w:rPr>
            </w:pPr>
            <w:r w:rsidRPr="00A126B5">
              <w:rPr>
                <w:i/>
                <w:iCs/>
                <w:sz w:val="22"/>
                <w:szCs w:val="22"/>
                <w:lang w:val="is-IS" w:eastAsia="is-IS"/>
              </w:rPr>
              <w:t>Markaðssetning og/eða sala og sölutrygging</w:t>
            </w:r>
          </w:p>
        </w:tc>
      </w:tr>
      <w:tr w:rsidR="00C25898" w:rsidRPr="00A126B5" w:rsidTr="00A126B5">
        <w:trPr>
          <w:trHeight w:val="333"/>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5.4.1.</w:t>
            </w:r>
          </w:p>
        </w:tc>
        <w:tc>
          <w:tcPr>
            <w:tcW w:w="7697" w:type="dxa"/>
            <w:vAlign w:val="center"/>
          </w:tcPr>
          <w:p w:rsidR="00C25898" w:rsidRPr="00A126B5" w:rsidRDefault="00C25898" w:rsidP="00C03E98">
            <w:pPr>
              <w:rPr>
                <w:b/>
                <w:bCs/>
                <w:sz w:val="22"/>
                <w:szCs w:val="22"/>
                <w:lang w:val="is-IS" w:eastAsia="is-IS"/>
              </w:rPr>
            </w:pPr>
            <w:r w:rsidRPr="00A126B5">
              <w:rPr>
                <w:sz w:val="22"/>
                <w:szCs w:val="22"/>
                <w:lang w:val="is-IS" w:eastAsia="is-IS"/>
              </w:rPr>
              <w:t>Nafn og heimilisfang þess eða þeirra sem hafa umsjón með heildarútboðinu eða einstaka hlutum þess og að því</w:t>
            </w:r>
            <w:r w:rsidR="00C03E98" w:rsidRPr="00A126B5">
              <w:rPr>
                <w:sz w:val="22"/>
                <w:szCs w:val="22"/>
                <w:lang w:val="is-IS" w:eastAsia="is-IS"/>
              </w:rPr>
              <w:t xml:space="preserve"> </w:t>
            </w:r>
            <w:r w:rsidRPr="00A126B5">
              <w:rPr>
                <w:sz w:val="22"/>
                <w:szCs w:val="22"/>
                <w:lang w:val="is-IS" w:eastAsia="is-IS"/>
              </w:rPr>
              <w:t>marki sem útgefanda eða tilboðsgjafa er kunnugt um, þeirra sem markaðssetja og/eða selja verðbréfin í hinum</w:t>
            </w:r>
            <w:r w:rsidR="00C03E98" w:rsidRPr="00A126B5">
              <w:rPr>
                <w:sz w:val="22"/>
                <w:szCs w:val="22"/>
                <w:lang w:val="is-IS" w:eastAsia="is-IS"/>
              </w:rPr>
              <w:t xml:space="preserve"> </w:t>
            </w:r>
            <w:r w:rsidRPr="00A126B5">
              <w:rPr>
                <w:sz w:val="22"/>
                <w:szCs w:val="22"/>
                <w:lang w:val="is-IS" w:eastAsia="is-IS"/>
              </w:rPr>
              <w:t>ýmsu löndum þar sem útboðið fer fram.</w:t>
            </w:r>
          </w:p>
        </w:tc>
      </w:tr>
      <w:tr w:rsidR="00C25898" w:rsidRPr="00A126B5" w:rsidTr="00A126B5">
        <w:trPr>
          <w:trHeight w:val="333"/>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5.4.2.</w:t>
            </w:r>
          </w:p>
        </w:tc>
        <w:tc>
          <w:tcPr>
            <w:tcW w:w="7697" w:type="dxa"/>
            <w:vAlign w:val="center"/>
          </w:tcPr>
          <w:p w:rsidR="00C25898" w:rsidRPr="00A126B5" w:rsidRDefault="00C25898" w:rsidP="00C03E98">
            <w:pPr>
              <w:rPr>
                <w:b/>
                <w:bCs/>
                <w:sz w:val="22"/>
                <w:szCs w:val="22"/>
                <w:lang w:val="is-IS" w:eastAsia="is-IS"/>
              </w:rPr>
            </w:pPr>
            <w:r w:rsidRPr="00A126B5">
              <w:rPr>
                <w:sz w:val="22"/>
                <w:szCs w:val="22"/>
                <w:lang w:val="is-IS" w:eastAsia="is-IS"/>
              </w:rPr>
              <w:t>Nafn og heimilisfang aðila sem annast greiðslur (</w:t>
            </w:r>
            <w:proofErr w:type="spellStart"/>
            <w:r w:rsidRPr="00A126B5">
              <w:rPr>
                <w:sz w:val="22"/>
                <w:szCs w:val="22"/>
                <w:lang w:val="is-IS" w:eastAsia="is-IS"/>
              </w:rPr>
              <w:t>paying</w:t>
            </w:r>
            <w:proofErr w:type="spellEnd"/>
            <w:r w:rsidRPr="00A126B5">
              <w:rPr>
                <w:sz w:val="22"/>
                <w:szCs w:val="22"/>
                <w:lang w:val="is-IS" w:eastAsia="is-IS"/>
              </w:rPr>
              <w:t xml:space="preserve"> </w:t>
            </w:r>
            <w:proofErr w:type="spellStart"/>
            <w:r w:rsidRPr="00A126B5">
              <w:rPr>
                <w:sz w:val="22"/>
                <w:szCs w:val="22"/>
                <w:lang w:val="is-IS" w:eastAsia="is-IS"/>
              </w:rPr>
              <w:t>agents</w:t>
            </w:r>
            <w:proofErr w:type="spellEnd"/>
            <w:r w:rsidRPr="00A126B5">
              <w:rPr>
                <w:sz w:val="22"/>
                <w:szCs w:val="22"/>
                <w:lang w:val="is-IS" w:eastAsia="is-IS"/>
              </w:rPr>
              <w:t>) og vörsluaðila (</w:t>
            </w:r>
            <w:proofErr w:type="spellStart"/>
            <w:r w:rsidRPr="00A126B5">
              <w:rPr>
                <w:sz w:val="22"/>
                <w:szCs w:val="22"/>
                <w:lang w:val="is-IS" w:eastAsia="is-IS"/>
              </w:rPr>
              <w:t>depository</w:t>
            </w:r>
            <w:proofErr w:type="spellEnd"/>
            <w:r w:rsidRPr="00A126B5">
              <w:rPr>
                <w:sz w:val="22"/>
                <w:szCs w:val="22"/>
                <w:lang w:val="is-IS" w:eastAsia="is-IS"/>
              </w:rPr>
              <w:t xml:space="preserve"> </w:t>
            </w:r>
            <w:proofErr w:type="spellStart"/>
            <w:r w:rsidRPr="00A126B5">
              <w:rPr>
                <w:sz w:val="22"/>
                <w:szCs w:val="22"/>
                <w:lang w:val="is-IS" w:eastAsia="is-IS"/>
              </w:rPr>
              <w:t>agents</w:t>
            </w:r>
            <w:proofErr w:type="spellEnd"/>
            <w:r w:rsidRPr="00A126B5">
              <w:rPr>
                <w:sz w:val="22"/>
                <w:szCs w:val="22"/>
                <w:lang w:val="is-IS" w:eastAsia="is-IS"/>
              </w:rPr>
              <w:t>) í hverju landi</w:t>
            </w:r>
            <w:r w:rsidR="00C03E98" w:rsidRPr="00A126B5">
              <w:rPr>
                <w:sz w:val="22"/>
                <w:szCs w:val="22"/>
                <w:lang w:val="is-IS" w:eastAsia="is-IS"/>
              </w:rPr>
              <w:t xml:space="preserve"> </w:t>
            </w:r>
            <w:r w:rsidRPr="00A126B5">
              <w:rPr>
                <w:sz w:val="22"/>
                <w:szCs w:val="22"/>
                <w:lang w:val="is-IS" w:eastAsia="is-IS"/>
              </w:rPr>
              <w:t>fyrir sig.</w:t>
            </w:r>
          </w:p>
        </w:tc>
      </w:tr>
      <w:tr w:rsidR="00C25898" w:rsidRPr="00A126B5" w:rsidTr="00A126B5">
        <w:trPr>
          <w:trHeight w:val="333"/>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5.4.3.</w:t>
            </w:r>
          </w:p>
        </w:tc>
        <w:tc>
          <w:tcPr>
            <w:tcW w:w="7697" w:type="dxa"/>
            <w:vAlign w:val="center"/>
          </w:tcPr>
          <w:p w:rsidR="00C25898" w:rsidRPr="00A126B5" w:rsidRDefault="00C25898" w:rsidP="00C03E98">
            <w:pPr>
              <w:autoSpaceDE w:val="0"/>
              <w:autoSpaceDN w:val="0"/>
              <w:adjustRightInd w:val="0"/>
              <w:rPr>
                <w:b/>
                <w:bCs/>
                <w:sz w:val="22"/>
                <w:szCs w:val="22"/>
                <w:lang w:val="is-IS" w:eastAsia="is-IS"/>
              </w:rPr>
            </w:pPr>
            <w:r w:rsidRPr="00A126B5">
              <w:rPr>
                <w:sz w:val="22"/>
                <w:szCs w:val="22"/>
                <w:lang w:val="is-IS" w:eastAsia="is-IS"/>
              </w:rPr>
              <w:t>Nöfn og heimilisföng aðila sem hafa samþykkt með bindandi samkomulagi að sölutryggja útgáfuna og nöfn og</w:t>
            </w:r>
            <w:r w:rsidR="00C03E98" w:rsidRPr="00A126B5">
              <w:rPr>
                <w:sz w:val="22"/>
                <w:szCs w:val="22"/>
                <w:lang w:val="is-IS" w:eastAsia="is-IS"/>
              </w:rPr>
              <w:t xml:space="preserve"> </w:t>
            </w:r>
            <w:r w:rsidRPr="00A126B5">
              <w:rPr>
                <w:sz w:val="22"/>
                <w:szCs w:val="22"/>
                <w:lang w:val="is-IS" w:eastAsia="is-IS"/>
              </w:rPr>
              <w:t>heimilisföng aðila sem hafa samþykkt að markaðssetja og/eða selja útgáfuna án bindandi samkomulags eða eftir</w:t>
            </w:r>
            <w:r w:rsidR="00C03E98" w:rsidRPr="00A126B5">
              <w:rPr>
                <w:sz w:val="22"/>
                <w:szCs w:val="22"/>
                <w:lang w:val="is-IS" w:eastAsia="is-IS"/>
              </w:rPr>
              <w:t xml:space="preserve"> </w:t>
            </w:r>
            <w:r w:rsidRPr="00A126B5">
              <w:rPr>
                <w:sz w:val="22"/>
                <w:szCs w:val="22"/>
                <w:lang w:val="is-IS" w:eastAsia="is-IS"/>
              </w:rPr>
              <w:t>bestu getu. Upplýsingar um mikilvæg einkenni samninganna, þ.m.t. hversu mikinn hluta hver hefur til sölu. Sé</w:t>
            </w:r>
            <w:r w:rsidR="00C03E98" w:rsidRPr="00A126B5">
              <w:rPr>
                <w:sz w:val="22"/>
                <w:szCs w:val="22"/>
                <w:lang w:val="is-IS" w:eastAsia="is-IS"/>
              </w:rPr>
              <w:t xml:space="preserve"> </w:t>
            </w:r>
            <w:r w:rsidRPr="00A126B5">
              <w:rPr>
                <w:sz w:val="22"/>
                <w:szCs w:val="22"/>
                <w:lang w:val="is-IS" w:eastAsia="is-IS"/>
              </w:rPr>
              <w:t>útgáfan ekki öll sölutryggð skal tilgreina þann hluta sem sölutrygging nær ekki til. Upplýsa skal um</w:t>
            </w:r>
            <w:r w:rsidR="00C03E98" w:rsidRPr="00A126B5">
              <w:rPr>
                <w:sz w:val="22"/>
                <w:szCs w:val="22"/>
                <w:lang w:val="is-IS" w:eastAsia="is-IS"/>
              </w:rPr>
              <w:t xml:space="preserve"> </w:t>
            </w:r>
            <w:r w:rsidRPr="00A126B5">
              <w:rPr>
                <w:sz w:val="22"/>
                <w:szCs w:val="22"/>
                <w:lang w:val="is-IS" w:eastAsia="is-IS"/>
              </w:rPr>
              <w:t>heildarþóknanir vegna sölutryggingar og markaðssetningar- og/eða sölu.</w:t>
            </w:r>
          </w:p>
        </w:tc>
      </w:tr>
      <w:tr w:rsidR="00C25898" w:rsidRPr="00A126B5" w:rsidTr="00A126B5">
        <w:trPr>
          <w:trHeight w:val="236"/>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5.4.4.</w:t>
            </w:r>
          </w:p>
        </w:tc>
        <w:tc>
          <w:tcPr>
            <w:tcW w:w="7697" w:type="dxa"/>
            <w:vAlign w:val="center"/>
          </w:tcPr>
          <w:p w:rsidR="00C25898" w:rsidRPr="00A126B5" w:rsidRDefault="00C25898" w:rsidP="009C0ABD">
            <w:pPr>
              <w:autoSpaceDE w:val="0"/>
              <w:autoSpaceDN w:val="0"/>
              <w:adjustRightInd w:val="0"/>
              <w:rPr>
                <w:b/>
                <w:bCs/>
                <w:sz w:val="22"/>
                <w:szCs w:val="22"/>
                <w:lang w:val="is-IS" w:eastAsia="is-IS"/>
              </w:rPr>
            </w:pPr>
            <w:r w:rsidRPr="00A126B5">
              <w:rPr>
                <w:sz w:val="22"/>
                <w:szCs w:val="22"/>
                <w:lang w:val="is-IS" w:eastAsia="is-IS"/>
              </w:rPr>
              <w:t>Upplýsingar um hvenær samningur um sölutryggingu hafi verið eða verði samþykktur.</w:t>
            </w:r>
          </w:p>
        </w:tc>
      </w:tr>
      <w:tr w:rsidR="00C25898" w:rsidRPr="00A126B5" w:rsidTr="00A126B5">
        <w:trPr>
          <w:trHeight w:val="28"/>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6.</w:t>
            </w:r>
          </w:p>
        </w:tc>
        <w:tc>
          <w:tcPr>
            <w:tcW w:w="7697" w:type="dxa"/>
            <w:vAlign w:val="center"/>
          </w:tcPr>
          <w:p w:rsidR="00C25898" w:rsidRPr="00A126B5" w:rsidRDefault="00A21FFA" w:rsidP="009C0ABD">
            <w:pPr>
              <w:autoSpaceDE w:val="0"/>
              <w:autoSpaceDN w:val="0"/>
              <w:adjustRightInd w:val="0"/>
              <w:rPr>
                <w:b/>
                <w:bCs/>
                <w:sz w:val="22"/>
                <w:szCs w:val="22"/>
                <w:lang w:val="is-IS" w:eastAsia="is-IS"/>
              </w:rPr>
            </w:pPr>
            <w:r w:rsidRPr="00A126B5">
              <w:rPr>
                <w:b/>
                <w:bCs/>
                <w:sz w:val="22"/>
                <w:szCs w:val="22"/>
                <w:lang w:val="is-IS" w:eastAsia="is-IS"/>
              </w:rPr>
              <w:t>SKRÁNING Á MARKAÐ OG FYRIRKOMULAG VIÐSKIPTA</w:t>
            </w:r>
          </w:p>
        </w:tc>
      </w:tr>
      <w:tr w:rsidR="00C25898" w:rsidRPr="00A126B5" w:rsidTr="00A126B5">
        <w:trPr>
          <w:trHeight w:val="333"/>
        </w:trPr>
        <w:tc>
          <w:tcPr>
            <w:tcW w:w="1101" w:type="dxa"/>
          </w:tcPr>
          <w:p w:rsidR="00C25898" w:rsidRPr="00A126B5" w:rsidRDefault="00C25898" w:rsidP="00A12814">
            <w:pPr>
              <w:rPr>
                <w:sz w:val="22"/>
                <w:szCs w:val="22"/>
                <w:lang w:val="is-IS"/>
              </w:rPr>
            </w:pPr>
          </w:p>
        </w:tc>
        <w:tc>
          <w:tcPr>
            <w:tcW w:w="850" w:type="dxa"/>
          </w:tcPr>
          <w:p w:rsidR="00C25898" w:rsidRPr="00A126B5" w:rsidRDefault="00C25898" w:rsidP="00A12814">
            <w:pPr>
              <w:rPr>
                <w:b/>
                <w:sz w:val="22"/>
                <w:szCs w:val="22"/>
                <w:lang w:val="is-IS"/>
              </w:rPr>
            </w:pPr>
            <w:r w:rsidRPr="00A126B5">
              <w:rPr>
                <w:b/>
                <w:sz w:val="22"/>
                <w:szCs w:val="22"/>
                <w:lang w:val="is-IS"/>
              </w:rPr>
              <w:t>6.1.</w:t>
            </w:r>
          </w:p>
        </w:tc>
        <w:tc>
          <w:tcPr>
            <w:tcW w:w="7697" w:type="dxa"/>
            <w:vAlign w:val="center"/>
          </w:tcPr>
          <w:p w:rsidR="00C25898"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Upplýsingar um hvort sótt hafi verið eða sótt verði um skráningu á verðbréfunum, sem boðin eru til kaups, á skipulegan verðbréfamarkað eða aðra sambærilega markaði ásamt upplýsingum um viðkomandi markaði. Nefna skal þessar aðstæður án þess að gefið sé í skyn að skráningin verði endilega samþykkt. Tilgreina skal þá daga þegar í fyrsta lagi er hægt að skrá verðbréfin, ef vitað er um þá.</w:t>
            </w:r>
          </w:p>
        </w:tc>
      </w:tr>
      <w:tr w:rsidR="00A21FFA" w:rsidRPr="00A126B5" w:rsidTr="00A126B5">
        <w:trPr>
          <w:trHeight w:val="333"/>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6.2.</w:t>
            </w:r>
          </w:p>
        </w:tc>
        <w:tc>
          <w:tcPr>
            <w:tcW w:w="7697" w:type="dxa"/>
            <w:vAlign w:val="center"/>
          </w:tcPr>
          <w:p w:rsidR="00A21FFA"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Tilgreina skal alla skipulega verðbréfamarkaði eða sambærilega markaði, sem útgefanda er kunnugt um, þar sem verðbréf í sama flokki og verðbréfin sem á að bjóða eða skrá á markað, hafa þegar verið skráð.</w:t>
            </w:r>
          </w:p>
        </w:tc>
      </w:tr>
      <w:tr w:rsidR="00A21FFA" w:rsidRPr="00A126B5" w:rsidTr="00A126B5">
        <w:trPr>
          <w:trHeight w:val="333"/>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6.3.</w:t>
            </w:r>
          </w:p>
        </w:tc>
        <w:tc>
          <w:tcPr>
            <w:tcW w:w="7697" w:type="dxa"/>
            <w:vAlign w:val="center"/>
          </w:tcPr>
          <w:p w:rsidR="00A21FFA"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Upplýsingar um aðila sem hafa gert bindandi samkomulag um að starfa sem milliliðir á eftirmarkaði og búa til seljanleika með kaup- og sölutilboðum ásamt lýsingu á helstu skilmálum samkomulagsins.</w:t>
            </w:r>
          </w:p>
        </w:tc>
      </w:tr>
      <w:tr w:rsidR="00A21FFA" w:rsidRPr="00A126B5" w:rsidTr="00A126B5">
        <w:trPr>
          <w:trHeight w:val="28"/>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7.</w:t>
            </w:r>
          </w:p>
        </w:tc>
        <w:tc>
          <w:tcPr>
            <w:tcW w:w="7697" w:type="dxa"/>
            <w:vAlign w:val="center"/>
          </w:tcPr>
          <w:p w:rsidR="00A21FFA" w:rsidRPr="00A126B5" w:rsidRDefault="00A21FFA" w:rsidP="009C0ABD">
            <w:pPr>
              <w:autoSpaceDE w:val="0"/>
              <w:autoSpaceDN w:val="0"/>
              <w:adjustRightInd w:val="0"/>
              <w:rPr>
                <w:b/>
                <w:bCs/>
                <w:sz w:val="22"/>
                <w:szCs w:val="22"/>
                <w:lang w:val="is-IS" w:eastAsia="is-IS"/>
              </w:rPr>
            </w:pPr>
            <w:r w:rsidRPr="00A126B5">
              <w:rPr>
                <w:b/>
                <w:bCs/>
                <w:sz w:val="22"/>
                <w:szCs w:val="22"/>
                <w:lang w:val="is-IS" w:eastAsia="is-IS"/>
              </w:rPr>
              <w:t>VIÐBÓTARUPPLÝSINGAR</w:t>
            </w:r>
          </w:p>
        </w:tc>
      </w:tr>
      <w:tr w:rsidR="00A21FFA" w:rsidRPr="00A126B5" w:rsidTr="00A126B5">
        <w:trPr>
          <w:trHeight w:val="333"/>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7.1.</w:t>
            </w:r>
          </w:p>
        </w:tc>
        <w:tc>
          <w:tcPr>
            <w:tcW w:w="7697" w:type="dxa"/>
            <w:vAlign w:val="center"/>
          </w:tcPr>
          <w:p w:rsidR="00A21FFA"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Ef ráðgjafa í tengslum við útgáfu er getið í verðbréfalýsingunni skal birta yfirlýsingu þar sem fram kemur hvert hlutverk þeirra hefur verið.</w:t>
            </w:r>
          </w:p>
        </w:tc>
      </w:tr>
      <w:tr w:rsidR="00A21FFA" w:rsidRPr="00A126B5" w:rsidTr="00A126B5">
        <w:trPr>
          <w:trHeight w:val="333"/>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7.2.</w:t>
            </w:r>
          </w:p>
        </w:tc>
        <w:tc>
          <w:tcPr>
            <w:tcW w:w="7697" w:type="dxa"/>
            <w:vAlign w:val="center"/>
          </w:tcPr>
          <w:p w:rsidR="00A21FFA"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Upplýsingar um önnur gögn í verðbréfalýsingunni sem löggiltir endurskoðendur hafa endurskoðað eða kannað og ef endurskoðendur hafa lagt fram skýrslu. Endursögn skýrslunnar eða ef lögbært yfirvald leyfir það, samantekt á henni.</w:t>
            </w:r>
          </w:p>
        </w:tc>
      </w:tr>
      <w:tr w:rsidR="00A21FFA" w:rsidRPr="00A126B5" w:rsidTr="00A126B5">
        <w:trPr>
          <w:trHeight w:val="333"/>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7.3.</w:t>
            </w:r>
          </w:p>
        </w:tc>
        <w:tc>
          <w:tcPr>
            <w:tcW w:w="7697" w:type="dxa"/>
            <w:vAlign w:val="center"/>
          </w:tcPr>
          <w:p w:rsidR="00A21FFA"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Ef verðbréfalýsing hefur að geyma yfirlýsingu eða skýrslu frá sérfræðingi skal tilgreina nafn þessa einstaklings, heimilisfang vinnustaðar, menntun hans og hæfi og hvort hann hafi verulegra hagsmuna að gæta gagnvart útgefandanum. Ef skýrslan er samin að beiðni útgefanda skal gefa yfirlýsingu um að slík yfirlýsing eða skýrsla fylgi, á hvaða formi og í hvaða samhengi hún er ásamt samþykki þess einstaklings sem hefur heimilað efni þessa hluta verðbréfalýsingarinnar.</w:t>
            </w:r>
          </w:p>
        </w:tc>
      </w:tr>
      <w:tr w:rsidR="00A21FFA" w:rsidRPr="00A126B5" w:rsidTr="00A126B5">
        <w:trPr>
          <w:trHeight w:val="333"/>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7.4.</w:t>
            </w:r>
          </w:p>
        </w:tc>
        <w:tc>
          <w:tcPr>
            <w:tcW w:w="7697" w:type="dxa"/>
            <w:vAlign w:val="center"/>
          </w:tcPr>
          <w:p w:rsidR="00A21FFA"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 xml:space="preserve">Ef upplýsingar eru fengnar frá þriðja aðila skal útgefandi, að svo miklu leyti sem honum er kunnugt um og honum er unnt, út frá þeim upplýsingum sem þriðji aðilinn hefur birt, láta í té staðfestingu þess efnis að upplýsingarnar séu réttar og að engum </w:t>
            </w:r>
            <w:r w:rsidRPr="00A126B5">
              <w:rPr>
                <w:sz w:val="22"/>
                <w:szCs w:val="22"/>
                <w:lang w:val="is-IS" w:eastAsia="is-IS"/>
              </w:rPr>
              <w:lastRenderedPageBreak/>
              <w:t>staðreyndum sé sleppt sem geri upplýsingarnar ónákvæmar eða misvísandi. Þar að auki skal tilgreina uppruna upplýsinganna.</w:t>
            </w:r>
          </w:p>
        </w:tc>
      </w:tr>
      <w:tr w:rsidR="00A21FFA" w:rsidRPr="00A126B5" w:rsidTr="00A126B5">
        <w:trPr>
          <w:trHeight w:val="28"/>
        </w:trPr>
        <w:tc>
          <w:tcPr>
            <w:tcW w:w="1101" w:type="dxa"/>
          </w:tcPr>
          <w:p w:rsidR="00A21FFA" w:rsidRPr="00A126B5" w:rsidRDefault="00A21FFA" w:rsidP="00A12814">
            <w:pPr>
              <w:rPr>
                <w:sz w:val="22"/>
                <w:szCs w:val="22"/>
                <w:lang w:val="is-IS"/>
              </w:rPr>
            </w:pPr>
          </w:p>
        </w:tc>
        <w:tc>
          <w:tcPr>
            <w:tcW w:w="850" w:type="dxa"/>
          </w:tcPr>
          <w:p w:rsidR="00A21FFA" w:rsidRPr="00A126B5" w:rsidRDefault="00A21FFA" w:rsidP="00A12814">
            <w:pPr>
              <w:rPr>
                <w:b/>
                <w:sz w:val="22"/>
                <w:szCs w:val="22"/>
                <w:lang w:val="is-IS"/>
              </w:rPr>
            </w:pPr>
            <w:r w:rsidRPr="00A126B5">
              <w:rPr>
                <w:b/>
                <w:sz w:val="22"/>
                <w:szCs w:val="22"/>
                <w:lang w:val="is-IS"/>
              </w:rPr>
              <w:t>7.5.</w:t>
            </w:r>
          </w:p>
        </w:tc>
        <w:tc>
          <w:tcPr>
            <w:tcW w:w="7697" w:type="dxa"/>
            <w:vAlign w:val="center"/>
          </w:tcPr>
          <w:p w:rsidR="00A21FFA" w:rsidRPr="00A126B5" w:rsidRDefault="00A21FFA" w:rsidP="00A21FFA">
            <w:pPr>
              <w:autoSpaceDE w:val="0"/>
              <w:autoSpaceDN w:val="0"/>
              <w:adjustRightInd w:val="0"/>
              <w:rPr>
                <w:b/>
                <w:bCs/>
                <w:sz w:val="22"/>
                <w:szCs w:val="22"/>
                <w:lang w:val="is-IS" w:eastAsia="is-IS"/>
              </w:rPr>
            </w:pPr>
            <w:r w:rsidRPr="00A126B5">
              <w:rPr>
                <w:sz w:val="22"/>
                <w:szCs w:val="22"/>
                <w:lang w:val="is-IS" w:eastAsia="is-IS"/>
              </w:rPr>
              <w:t>Lánshæfismat útgefanda eða skuldabréfa hans ef útgefandinn hefur farið fram á matið eða tekið þátt í matsferlinu. Stutt skýring á því hvaða þýðingu lánshæfis</w:t>
            </w:r>
            <w:r w:rsidRPr="00A126B5">
              <w:rPr>
                <w:sz w:val="22"/>
                <w:szCs w:val="22"/>
                <w:lang w:val="is-IS" w:eastAsia="is-IS"/>
              </w:rPr>
              <w:softHyphen/>
              <w:t>matið hefur ef sá sem úthlutar því hefur þegar birt það.</w:t>
            </w:r>
          </w:p>
        </w:tc>
      </w:tr>
    </w:tbl>
    <w:p w:rsidR="001C48A2" w:rsidRPr="00A12814" w:rsidRDefault="001C48A2" w:rsidP="00A12814">
      <w:pPr>
        <w:ind w:left="-180" w:firstLine="180"/>
        <w:rPr>
          <w:lang w:val="is-IS"/>
        </w:rPr>
      </w:pPr>
    </w:p>
    <w:sectPr w:rsidR="001C48A2" w:rsidRPr="00A12814" w:rsidSect="007A3D9E">
      <w:headerReference w:type="default" r:id="rId9"/>
      <w:footerReference w:type="default" r:id="rId10"/>
      <w:headerReference w:type="first" r:id="rId11"/>
      <w:footerReference w:type="first" r:id="rId12"/>
      <w:pgSz w:w="11906" w:h="16838" w:code="9"/>
      <w:pgMar w:top="1808" w:right="1418" w:bottom="1418" w:left="12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A8B" w:rsidRDefault="009A4A8B">
      <w:r>
        <w:separator/>
      </w:r>
    </w:p>
  </w:endnote>
  <w:endnote w:type="continuationSeparator" w:id="0">
    <w:p w:rsidR="009A4A8B" w:rsidRDefault="009A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8B" w:rsidRDefault="009A4A8B" w:rsidP="007B7AF3">
    <w:pPr>
      <w:pStyle w:val="Footer"/>
      <w:jc w:val="center"/>
      <w:rPr>
        <w:sz w:val="20"/>
        <w:szCs w:val="20"/>
      </w:rPr>
    </w:pPr>
  </w:p>
  <w:p w:rsidR="009A4A8B" w:rsidRPr="007B7AF3" w:rsidRDefault="009A4A8B" w:rsidP="007B7AF3">
    <w:pPr>
      <w:pStyle w:val="Footer"/>
      <w:jc w:val="center"/>
      <w:rPr>
        <w:sz w:val="20"/>
        <w:szCs w:val="20"/>
      </w:rP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sidR="003D2DDA">
      <w:rPr>
        <w:noProof/>
        <w:sz w:val="20"/>
        <w:szCs w:val="20"/>
      </w:rPr>
      <w:t>1</w:t>
    </w:r>
    <w:r w:rsidRPr="007B7AF3">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8B" w:rsidRDefault="009A4A8B" w:rsidP="007B7AF3">
    <w:pPr>
      <w:pStyle w:val="Footer"/>
      <w:jc w:val="center"/>
    </w:pPr>
    <w:r w:rsidRPr="007B7AF3">
      <w:rPr>
        <w:sz w:val="20"/>
        <w:szCs w:val="20"/>
      </w:rPr>
      <w:fldChar w:fldCharType="begin"/>
    </w:r>
    <w:r w:rsidRPr="007B7AF3">
      <w:rPr>
        <w:sz w:val="20"/>
        <w:szCs w:val="20"/>
      </w:rPr>
      <w:instrText xml:space="preserve"> PAGE </w:instrText>
    </w:r>
    <w:r w:rsidRPr="007B7AF3">
      <w:rPr>
        <w:sz w:val="20"/>
        <w:szCs w:val="20"/>
      </w:rPr>
      <w:fldChar w:fldCharType="separate"/>
    </w:r>
    <w:r>
      <w:rPr>
        <w:noProof/>
        <w:sz w:val="20"/>
        <w:szCs w:val="20"/>
      </w:rPr>
      <w:t>1</w:t>
    </w:r>
    <w:r w:rsidRPr="007B7AF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A8B" w:rsidRDefault="009A4A8B">
      <w:r>
        <w:separator/>
      </w:r>
    </w:p>
  </w:footnote>
  <w:footnote w:type="continuationSeparator" w:id="0">
    <w:p w:rsidR="009A4A8B" w:rsidRDefault="009A4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98" w:rsidRPr="007A3D9E" w:rsidRDefault="00C25898" w:rsidP="00292001">
    <w:pPr>
      <w:pStyle w:val="Header"/>
      <w:tabs>
        <w:tab w:val="clear" w:pos="9072"/>
        <w:tab w:val="right" w:pos="9214"/>
      </w:tabs>
      <w:rPr>
        <w:sz w:val="16"/>
        <w:szCs w:val="16"/>
        <w:lang w:val="is-IS"/>
      </w:rPr>
    </w:pPr>
    <w:r>
      <w:rPr>
        <w:noProof/>
        <w:lang w:val="is-IS" w:eastAsia="is-IS"/>
      </w:rPr>
      <w:drawing>
        <wp:anchor distT="0" distB="0" distL="114300" distR="114300" simplePos="0" relativeHeight="251659264" behindDoc="0" locked="1" layoutInCell="1" allowOverlap="1" wp14:anchorId="6AFE8E06" wp14:editId="429B69BA">
          <wp:simplePos x="0" y="0"/>
          <wp:positionH relativeFrom="column">
            <wp:posOffset>2195195</wp:posOffset>
          </wp:positionH>
          <wp:positionV relativeFrom="paragraph">
            <wp:posOffset>-58420</wp:posOffset>
          </wp:positionV>
          <wp:extent cx="1586865" cy="547370"/>
          <wp:effectExtent l="0" t="0" r="0" b="508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865" cy="547370"/>
                  </a:xfrm>
                  <a:prstGeom prst="rect">
                    <a:avLst/>
                  </a:prstGeom>
                  <a:noFill/>
                </pic:spPr>
              </pic:pic>
            </a:graphicData>
          </a:graphic>
          <wp14:sizeRelH relativeFrom="page">
            <wp14:pctWidth>0</wp14:pctWidth>
          </wp14:sizeRelH>
          <wp14:sizeRelV relativeFrom="page">
            <wp14:pctHeight>0</wp14:pctHeight>
          </wp14:sizeRelV>
        </wp:anchor>
      </w:drawing>
    </w:r>
    <w:r w:rsidRPr="00862F31">
      <w:rPr>
        <w:lang w:val="is-IS"/>
      </w:rPr>
      <w:t>(Málsnúmer)</w:t>
    </w:r>
    <w:r>
      <w:rPr>
        <w:sz w:val="16"/>
        <w:szCs w:val="16"/>
        <w:lang w:val="is-IS"/>
      </w:rPr>
      <w:tab/>
    </w:r>
    <w:r>
      <w:rPr>
        <w:sz w:val="16"/>
        <w:szCs w:val="16"/>
        <w:lang w:val="is-IS"/>
      </w:rPr>
      <w:tab/>
      <w:t>V</w:t>
    </w:r>
    <w:r w:rsidRPr="007A3D9E">
      <w:rPr>
        <w:sz w:val="16"/>
        <w:szCs w:val="16"/>
        <w:lang w:val="is-IS"/>
      </w:rPr>
      <w:t>. Viðauki</w:t>
    </w:r>
  </w:p>
  <w:p w:rsidR="00C25898" w:rsidRPr="007A3D9E" w:rsidRDefault="00A61C67" w:rsidP="00C00631">
    <w:pPr>
      <w:pStyle w:val="Header"/>
      <w:rPr>
        <w:sz w:val="16"/>
        <w:szCs w:val="16"/>
        <w:lang w:val="is-IS"/>
      </w:rPr>
    </w:pPr>
    <w:r>
      <w:rPr>
        <w:sz w:val="16"/>
        <w:szCs w:val="16"/>
        <w:lang w:val="is-IS"/>
      </w:rPr>
      <w:t>Verðbréfalýsing</w:t>
    </w:r>
    <w:r w:rsidR="00C25898" w:rsidRPr="007A3D9E">
      <w:rPr>
        <w:sz w:val="16"/>
        <w:szCs w:val="16"/>
        <w:lang w:val="is-IS"/>
      </w:rPr>
      <w:t>, X. drög</w:t>
    </w:r>
  </w:p>
  <w:p w:rsidR="00C25898" w:rsidRPr="007A3D9E" w:rsidRDefault="00C25898" w:rsidP="00C00631">
    <w:pPr>
      <w:pStyle w:val="Header"/>
      <w:rPr>
        <w:sz w:val="16"/>
        <w:szCs w:val="16"/>
        <w:lang w:val="is-IS"/>
      </w:rPr>
    </w:pPr>
    <w:r w:rsidRPr="007A3D9E">
      <w:rPr>
        <w:sz w:val="16"/>
        <w:szCs w:val="16"/>
        <w:lang w:val="is-IS"/>
      </w:rPr>
      <w:t>dags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A8B" w:rsidRPr="002B0E36" w:rsidRDefault="009A4A8B" w:rsidP="002B0E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A48"/>
    <w:multiLevelType w:val="hybridMultilevel"/>
    <w:tmpl w:val="396AF5B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122A7F5F"/>
    <w:multiLevelType w:val="hybridMultilevel"/>
    <w:tmpl w:val="6D70CEE6"/>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nsid w:val="1C8379A4"/>
    <w:multiLevelType w:val="hybridMultilevel"/>
    <w:tmpl w:val="3A92846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nsid w:val="258805C2"/>
    <w:multiLevelType w:val="hybridMultilevel"/>
    <w:tmpl w:val="85EC32E8"/>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386D625F"/>
    <w:multiLevelType w:val="hybridMultilevel"/>
    <w:tmpl w:val="26CA928E"/>
    <w:lvl w:ilvl="0" w:tplc="14CAD6F6">
      <w:start w:val="3"/>
      <w:numFmt w:val="bullet"/>
      <w:lvlText w:val="–"/>
      <w:lvlJc w:val="left"/>
      <w:pPr>
        <w:ind w:left="72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3931492D"/>
    <w:multiLevelType w:val="hybridMultilevel"/>
    <w:tmpl w:val="22B4C170"/>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nsid w:val="59641FDD"/>
    <w:multiLevelType w:val="hybridMultilevel"/>
    <w:tmpl w:val="B4440802"/>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nsid w:val="59E2698C"/>
    <w:multiLevelType w:val="hybridMultilevel"/>
    <w:tmpl w:val="D64CA74A"/>
    <w:lvl w:ilvl="0" w:tplc="3410A410">
      <w:start w:val="3"/>
      <w:numFmt w:val="bullet"/>
      <w:lvlText w:val="–"/>
      <w:lvlJc w:val="left"/>
      <w:pPr>
        <w:ind w:left="720" w:hanging="360"/>
      </w:pPr>
      <w:rPr>
        <w:rFonts w:ascii="TimesNewRoman" w:eastAsia="Times New Roman" w:hAnsi="TimesNewRoman" w:cs="TimesNew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nsid w:val="6DB87298"/>
    <w:multiLevelType w:val="hybridMultilevel"/>
    <w:tmpl w:val="29145F90"/>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0"/>
  </w:num>
  <w:num w:numId="5">
    <w:abstractNumId w:val="6"/>
  </w:num>
  <w:num w:numId="6">
    <w:abstractNumId w:val="1"/>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14"/>
    <w:rsid w:val="00036D2A"/>
    <w:rsid w:val="000A34D8"/>
    <w:rsid w:val="001137B0"/>
    <w:rsid w:val="00120422"/>
    <w:rsid w:val="00126874"/>
    <w:rsid w:val="001349AB"/>
    <w:rsid w:val="001A10A9"/>
    <w:rsid w:val="001A17F0"/>
    <w:rsid w:val="001C48A2"/>
    <w:rsid w:val="001D2568"/>
    <w:rsid w:val="00221654"/>
    <w:rsid w:val="00227162"/>
    <w:rsid w:val="002735BC"/>
    <w:rsid w:val="00292001"/>
    <w:rsid w:val="002B0E36"/>
    <w:rsid w:val="003175D5"/>
    <w:rsid w:val="0032318D"/>
    <w:rsid w:val="00334FE6"/>
    <w:rsid w:val="0034369A"/>
    <w:rsid w:val="003665B6"/>
    <w:rsid w:val="003D2DDA"/>
    <w:rsid w:val="004562C7"/>
    <w:rsid w:val="0048355D"/>
    <w:rsid w:val="00486EEB"/>
    <w:rsid w:val="005058E7"/>
    <w:rsid w:val="00562EE2"/>
    <w:rsid w:val="0057427A"/>
    <w:rsid w:val="00612D48"/>
    <w:rsid w:val="00620CA6"/>
    <w:rsid w:val="006C38A4"/>
    <w:rsid w:val="006D30AF"/>
    <w:rsid w:val="00760B9F"/>
    <w:rsid w:val="007952D1"/>
    <w:rsid w:val="007A3D9E"/>
    <w:rsid w:val="007B7AF3"/>
    <w:rsid w:val="00815DA0"/>
    <w:rsid w:val="0084135F"/>
    <w:rsid w:val="00841558"/>
    <w:rsid w:val="008548E5"/>
    <w:rsid w:val="00862F31"/>
    <w:rsid w:val="008969AD"/>
    <w:rsid w:val="008A365F"/>
    <w:rsid w:val="008F5D1B"/>
    <w:rsid w:val="009247E4"/>
    <w:rsid w:val="00956A8D"/>
    <w:rsid w:val="009A4A8B"/>
    <w:rsid w:val="009C0ABD"/>
    <w:rsid w:val="009D3138"/>
    <w:rsid w:val="009F3FB6"/>
    <w:rsid w:val="00A126B5"/>
    <w:rsid w:val="00A12814"/>
    <w:rsid w:val="00A21FFA"/>
    <w:rsid w:val="00A50B13"/>
    <w:rsid w:val="00A61C67"/>
    <w:rsid w:val="00A8391C"/>
    <w:rsid w:val="00B5708E"/>
    <w:rsid w:val="00B73895"/>
    <w:rsid w:val="00BD75B7"/>
    <w:rsid w:val="00C00631"/>
    <w:rsid w:val="00C03E98"/>
    <w:rsid w:val="00C11235"/>
    <w:rsid w:val="00C25898"/>
    <w:rsid w:val="00C83FBB"/>
    <w:rsid w:val="00C906FD"/>
    <w:rsid w:val="00C91AE9"/>
    <w:rsid w:val="00C97109"/>
    <w:rsid w:val="00CE5036"/>
    <w:rsid w:val="00D152D6"/>
    <w:rsid w:val="00D23CF1"/>
    <w:rsid w:val="00DD7BCE"/>
    <w:rsid w:val="00E2426E"/>
    <w:rsid w:val="00E36869"/>
    <w:rsid w:val="00E45794"/>
    <w:rsid w:val="00E640FD"/>
    <w:rsid w:val="00E80D4B"/>
    <w:rsid w:val="00F207F2"/>
    <w:rsid w:val="00F2171A"/>
    <w:rsid w:val="00F315A7"/>
    <w:rsid w:val="00FD06D0"/>
    <w:rsid w:val="00FD1EBF"/>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2814"/>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2814"/>
    <w:pPr>
      <w:tabs>
        <w:tab w:val="center" w:pos="4536"/>
        <w:tab w:val="right" w:pos="9072"/>
      </w:tabs>
    </w:pPr>
  </w:style>
  <w:style w:type="paragraph" w:styleId="Footer">
    <w:name w:val="footer"/>
    <w:basedOn w:val="Normal"/>
    <w:rsid w:val="00A12814"/>
    <w:pPr>
      <w:tabs>
        <w:tab w:val="center" w:pos="4536"/>
        <w:tab w:val="right" w:pos="9072"/>
      </w:tabs>
    </w:pPr>
  </w:style>
  <w:style w:type="table" w:styleId="TableGrid">
    <w:name w:val="Table Grid"/>
    <w:basedOn w:val="TableNormal"/>
    <w:rsid w:val="001C48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426E"/>
    <w:rPr>
      <w:rFonts w:ascii="Tahoma" w:hAnsi="Tahoma" w:cs="Tahoma"/>
      <w:sz w:val="16"/>
      <w:szCs w:val="16"/>
    </w:rPr>
  </w:style>
  <w:style w:type="character" w:customStyle="1" w:styleId="BalloonTextChar">
    <w:name w:val="Balloon Text Char"/>
    <w:basedOn w:val="DefaultParagraphFont"/>
    <w:link w:val="BalloonText"/>
    <w:rsid w:val="00E2426E"/>
    <w:rPr>
      <w:rFonts w:ascii="Tahoma" w:hAnsi="Tahoma" w:cs="Tahoma"/>
      <w:sz w:val="16"/>
      <w:szCs w:val="16"/>
      <w:lang w:val="en-GB" w:eastAsia="en-GB"/>
    </w:rPr>
  </w:style>
  <w:style w:type="paragraph" w:styleId="ListParagraph">
    <w:name w:val="List Paragraph"/>
    <w:basedOn w:val="Normal"/>
    <w:uiPriority w:val="34"/>
    <w:qFormat/>
    <w:rsid w:val="0032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7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8EAD-AF02-4709-A5E9-5D85FA11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1651</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vt:lpstr>
    </vt:vector>
  </TitlesOfParts>
  <Company>Fjármálaeftirlitið</Company>
  <LinksUpToDate>false</LinksUpToDate>
  <CharactersWithSpaces>11353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cp:lastModifiedBy>Greipur Þ. Júlíusson</cp:lastModifiedBy>
  <cp:revision>3</cp:revision>
  <cp:lastPrinted>2011-12-16T14:59:00Z</cp:lastPrinted>
  <dcterms:created xsi:type="dcterms:W3CDTF">2011-12-20T15:00:00Z</dcterms:created>
  <dcterms:modified xsi:type="dcterms:W3CDTF">2013-11-06T08:33:00Z</dcterms:modified>
</cp:coreProperties>
</file>