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Default="002B0E36" w:rsidP="00A12814">
      <w:pPr>
        <w:rPr>
          <w:b/>
          <w:sz w:val="20"/>
          <w:szCs w:val="20"/>
          <w:lang w:val="is-IS"/>
        </w:rPr>
      </w:pPr>
    </w:p>
    <w:p w:rsidR="00A12814" w:rsidRPr="001C333F" w:rsidRDefault="00A12814" w:rsidP="00A12814">
      <w:pPr>
        <w:rPr>
          <w:b/>
          <w:sz w:val="22"/>
          <w:szCs w:val="22"/>
          <w:lang w:val="is-IS" w:eastAsia="en-US"/>
        </w:rPr>
      </w:pPr>
      <w:r w:rsidRPr="001C333F">
        <w:rPr>
          <w:b/>
          <w:sz w:val="22"/>
          <w:szCs w:val="22"/>
          <w:lang w:val="is-IS"/>
        </w:rPr>
        <w:t>I</w:t>
      </w:r>
      <w:r w:rsidR="008F5D1B" w:rsidRPr="001C333F">
        <w:rPr>
          <w:b/>
          <w:sz w:val="22"/>
          <w:szCs w:val="22"/>
          <w:lang w:val="is-IS"/>
        </w:rPr>
        <w:t>V</w:t>
      </w:r>
      <w:r w:rsidRPr="001C333F">
        <w:rPr>
          <w:b/>
          <w:sz w:val="22"/>
          <w:szCs w:val="22"/>
          <w:lang w:val="is-IS"/>
        </w:rPr>
        <w:t>. VIÐAUKI – REGLUGERÐ FRAMKVÆMDASTJÓRNARINNAR (EB) nr. 809/2004 frá 29. apríl 2004</w:t>
      </w:r>
    </w:p>
    <w:p w:rsidR="00A12814" w:rsidRPr="001C333F" w:rsidRDefault="00A12814" w:rsidP="00A12814">
      <w:pPr>
        <w:ind w:left="720"/>
        <w:rPr>
          <w:b/>
          <w:color w:val="000000"/>
          <w:sz w:val="22"/>
          <w:szCs w:val="22"/>
          <w:lang w:val="is-IS" w:eastAsia="is-IS"/>
        </w:rPr>
      </w:pPr>
    </w:p>
    <w:p w:rsidR="00A12814" w:rsidRPr="001C333F" w:rsidRDefault="00A12814" w:rsidP="00A12814">
      <w:pPr>
        <w:rPr>
          <w:b/>
          <w:color w:val="000000"/>
          <w:sz w:val="22"/>
          <w:szCs w:val="22"/>
          <w:lang w:val="is-IS" w:eastAsia="is-IS"/>
        </w:rPr>
      </w:pPr>
      <w:r w:rsidRPr="001C333F">
        <w:rPr>
          <w:b/>
          <w:color w:val="000000"/>
          <w:sz w:val="22"/>
          <w:szCs w:val="22"/>
          <w:lang w:val="is-IS" w:eastAsia="is-IS"/>
        </w:rPr>
        <w:t xml:space="preserve">Sbr. tilgreint í 2. mgr. </w:t>
      </w:r>
      <w:proofErr w:type="spellStart"/>
      <w:r w:rsidRPr="001C333F">
        <w:rPr>
          <w:b/>
          <w:color w:val="000000"/>
          <w:sz w:val="22"/>
          <w:szCs w:val="22"/>
          <w:lang w:val="is-IS" w:eastAsia="is-IS"/>
        </w:rPr>
        <w:t>regl</w:t>
      </w:r>
      <w:proofErr w:type="spellEnd"/>
      <w:r w:rsidRPr="001C333F">
        <w:rPr>
          <w:b/>
          <w:color w:val="000000"/>
          <w:sz w:val="22"/>
          <w:szCs w:val="22"/>
          <w:lang w:val="is-IS" w:eastAsia="is-IS"/>
        </w:rPr>
        <w:t>. nr. 243/2006:</w:t>
      </w:r>
    </w:p>
    <w:p w:rsidR="00A12814" w:rsidRPr="001C333F" w:rsidRDefault="00A12814" w:rsidP="00A12814">
      <w:pPr>
        <w:rPr>
          <w:b/>
          <w:i/>
          <w:color w:val="000000"/>
          <w:sz w:val="22"/>
          <w:szCs w:val="22"/>
          <w:lang w:val="is-IS" w:eastAsia="is-IS"/>
        </w:rPr>
      </w:pPr>
      <w:r w:rsidRPr="001C333F">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1C333F" w:rsidRDefault="00A12814" w:rsidP="00A12814">
      <w:pPr>
        <w:ind w:left="720"/>
        <w:rPr>
          <w:b/>
          <w:color w:val="000000"/>
          <w:sz w:val="22"/>
          <w:szCs w:val="22"/>
          <w:lang w:val="is-IS" w:eastAsia="is-IS"/>
        </w:rPr>
      </w:pPr>
    </w:p>
    <w:p w:rsidR="00A12814" w:rsidRPr="001C333F" w:rsidRDefault="00A12814" w:rsidP="00A12814">
      <w:pPr>
        <w:rPr>
          <w:b/>
          <w:sz w:val="22"/>
          <w:szCs w:val="22"/>
          <w:lang w:val="is-IS"/>
        </w:rPr>
      </w:pPr>
      <w:r w:rsidRPr="001C333F">
        <w:rPr>
          <w:b/>
          <w:sz w:val="22"/>
          <w:szCs w:val="22"/>
          <w:lang w:val="is-IS"/>
        </w:rPr>
        <w:t>Ef ósamræmi er á milli textans í þessu skjali og texta reglugerðar framkvæmdastjórnarinnar nr. 809/2004 er það texti reglugerðarinnar sem gildir.</w:t>
      </w:r>
    </w:p>
    <w:p w:rsidR="00841558" w:rsidRPr="001C333F" w:rsidRDefault="00841558" w:rsidP="004562C7">
      <w:pPr>
        <w:rPr>
          <w:b/>
          <w:color w:val="4F81BD" w:themeColor="accent1"/>
          <w:sz w:val="22"/>
          <w:szCs w:val="22"/>
          <w:lang w:val="is-IS"/>
        </w:rPr>
      </w:pPr>
    </w:p>
    <w:p w:rsidR="008969AD" w:rsidRPr="001C333F" w:rsidRDefault="008969AD" w:rsidP="00036D2A">
      <w:pPr>
        <w:rPr>
          <w:b/>
          <w:sz w:val="22"/>
          <w:szCs w:val="22"/>
          <w:lang w:val="is-IS"/>
        </w:rPr>
      </w:pPr>
    </w:p>
    <w:p w:rsidR="00A12814" w:rsidRPr="001C333F" w:rsidRDefault="00A12814" w:rsidP="00A12814">
      <w:pPr>
        <w:jc w:val="center"/>
        <w:rPr>
          <w:b/>
          <w:sz w:val="22"/>
          <w:szCs w:val="22"/>
          <w:lang w:val="is-IS"/>
        </w:rPr>
      </w:pPr>
      <w:r w:rsidRPr="001C333F">
        <w:rPr>
          <w:b/>
          <w:sz w:val="22"/>
          <w:szCs w:val="22"/>
          <w:lang w:val="is-IS"/>
        </w:rPr>
        <w:t>I</w:t>
      </w:r>
      <w:r w:rsidR="008F5D1B" w:rsidRPr="001C333F">
        <w:rPr>
          <w:b/>
          <w:sz w:val="22"/>
          <w:szCs w:val="22"/>
          <w:lang w:val="is-IS"/>
        </w:rPr>
        <w:t>V</w:t>
      </w:r>
      <w:r w:rsidRPr="001C333F">
        <w:rPr>
          <w:b/>
          <w:sz w:val="22"/>
          <w:szCs w:val="22"/>
          <w:lang w:val="is-IS"/>
        </w:rPr>
        <w:t>. VIÐAUKI</w:t>
      </w:r>
    </w:p>
    <w:p w:rsidR="00A12814" w:rsidRPr="001C333F" w:rsidRDefault="00A12814" w:rsidP="00A12814">
      <w:pPr>
        <w:ind w:left="360"/>
        <w:jc w:val="center"/>
        <w:rPr>
          <w:b/>
          <w:sz w:val="22"/>
          <w:szCs w:val="22"/>
          <w:lang w:val="is-IS"/>
        </w:rPr>
      </w:pPr>
    </w:p>
    <w:p w:rsidR="00E80D4B" w:rsidRPr="001C333F" w:rsidRDefault="00E80D4B" w:rsidP="00E80D4B">
      <w:pPr>
        <w:jc w:val="center"/>
        <w:rPr>
          <w:rFonts w:ascii="TimesNewRoman,Bold" w:hAnsi="TimesNewRoman,Bold" w:cs="TimesNewRoman,Bold"/>
          <w:b/>
          <w:bCs/>
          <w:sz w:val="22"/>
          <w:szCs w:val="22"/>
          <w:lang w:val="is-IS" w:eastAsia="is-IS"/>
        </w:rPr>
      </w:pPr>
      <w:r w:rsidRPr="001C333F">
        <w:rPr>
          <w:b/>
          <w:sz w:val="22"/>
          <w:szCs w:val="22"/>
          <w:lang w:val="is-IS"/>
        </w:rPr>
        <w:t>Lágmarkskröfur um upplýsingar sem koma eiga fram í útgefandalýsingu fyrir skuldabréf og afleidd verðbréf (grunnskjal)</w:t>
      </w:r>
      <w:r w:rsidRPr="001C333F">
        <w:rPr>
          <w:rFonts w:ascii="TimesNewRoman,Bold" w:hAnsi="TimesNewRoman,Bold" w:cs="TimesNewRoman,Bold"/>
          <w:b/>
          <w:bCs/>
          <w:sz w:val="22"/>
          <w:szCs w:val="22"/>
          <w:lang w:val="is-IS" w:eastAsia="is-IS"/>
        </w:rPr>
        <w:t xml:space="preserve"> </w:t>
      </w:r>
    </w:p>
    <w:p w:rsidR="00E80D4B" w:rsidRPr="001C333F" w:rsidRDefault="00E80D4B" w:rsidP="00E80D4B">
      <w:pPr>
        <w:jc w:val="center"/>
        <w:rPr>
          <w:rFonts w:ascii="TimesNewRoman,Bold" w:hAnsi="TimesNewRoman,Bold" w:cs="TimesNewRoman,Bold"/>
          <w:b/>
          <w:bCs/>
          <w:sz w:val="22"/>
          <w:szCs w:val="22"/>
          <w:lang w:val="is-IS" w:eastAsia="is-IS"/>
        </w:rPr>
      </w:pPr>
    </w:p>
    <w:p w:rsidR="00A12814" w:rsidRPr="001C333F" w:rsidRDefault="00E80D4B" w:rsidP="00E80D4B">
      <w:pPr>
        <w:jc w:val="center"/>
        <w:rPr>
          <w:b/>
          <w:sz w:val="22"/>
          <w:szCs w:val="22"/>
          <w:lang w:val="is-IS"/>
        </w:rPr>
      </w:pPr>
      <w:r w:rsidRPr="001C333F">
        <w:rPr>
          <w:rFonts w:ascii="TimesNewRoman,Bold" w:hAnsi="TimesNewRoman,Bold" w:cs="TimesNewRoman,Bold"/>
          <w:b/>
          <w:bCs/>
          <w:sz w:val="22"/>
          <w:szCs w:val="22"/>
          <w:lang w:val="is-IS" w:eastAsia="is-IS"/>
        </w:rPr>
        <w:t>(Skuldabréf og afleidd verðbréf þar sem nafnvirð</w:t>
      </w:r>
      <w:r w:rsidR="00DE75BF">
        <w:rPr>
          <w:rFonts w:ascii="TimesNewRoman,Bold" w:hAnsi="TimesNewRoman,Bold" w:cs="TimesNewRoman,Bold"/>
          <w:b/>
          <w:bCs/>
          <w:sz w:val="22"/>
          <w:szCs w:val="22"/>
          <w:lang w:val="is-IS" w:eastAsia="is-IS"/>
        </w:rPr>
        <w:t>i hverrar einingar er lægra en 10</w:t>
      </w:r>
      <w:bookmarkStart w:id="0" w:name="_GoBack"/>
      <w:bookmarkEnd w:id="0"/>
      <w:r w:rsidRPr="001C333F">
        <w:rPr>
          <w:rFonts w:ascii="TimesNewRoman,Bold" w:hAnsi="TimesNewRoman,Bold" w:cs="TimesNewRoman,Bold"/>
          <w:b/>
          <w:bCs/>
          <w:sz w:val="22"/>
          <w:szCs w:val="22"/>
          <w:lang w:val="is-IS" w:eastAsia="is-IS"/>
        </w:rPr>
        <w:t>0.000 evrur)</w:t>
      </w:r>
    </w:p>
    <w:p w:rsidR="00126874" w:rsidRDefault="00126874" w:rsidP="00A12814">
      <w:pPr>
        <w:ind w:left="-180" w:firstLine="180"/>
        <w:rPr>
          <w:lang w:val="is-IS"/>
        </w:rPr>
      </w:pPr>
    </w:p>
    <w:p w:rsidR="001C48A2" w:rsidRDefault="001C48A2" w:rsidP="00A12814">
      <w:pPr>
        <w:ind w:left="-180" w:firstLine="180"/>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01"/>
        <w:gridCol w:w="850"/>
        <w:gridCol w:w="7697"/>
      </w:tblGrid>
      <w:tr w:rsidR="00AB6DAD" w:rsidRPr="001C333F" w:rsidTr="005D21BA">
        <w:tc>
          <w:tcPr>
            <w:tcW w:w="1101" w:type="dxa"/>
          </w:tcPr>
          <w:p w:rsidR="00AB6DAD" w:rsidRPr="00C4246A" w:rsidRDefault="00AB6DAD" w:rsidP="00674FB4">
            <w:pPr>
              <w:rPr>
                <w:b/>
                <w:color w:val="FF0000"/>
                <w:sz w:val="22"/>
                <w:szCs w:val="22"/>
                <w:lang w:val="is-IS"/>
              </w:rPr>
            </w:pPr>
            <w:r>
              <w:rPr>
                <w:b/>
                <w:color w:val="FF0000"/>
                <w:sz w:val="22"/>
                <w:szCs w:val="22"/>
                <w:lang w:val="is-IS"/>
              </w:rPr>
              <w:t xml:space="preserve">Kafli# </w:t>
            </w:r>
            <w:proofErr w:type="spellStart"/>
            <w:r w:rsidRPr="00C4246A">
              <w:rPr>
                <w:b/>
                <w:color w:val="FF0000"/>
                <w:sz w:val="22"/>
                <w:szCs w:val="22"/>
                <w:lang w:val="is-IS"/>
              </w:rPr>
              <w:t>Bls</w:t>
            </w:r>
            <w:proofErr w:type="spellEnd"/>
            <w:r>
              <w:rPr>
                <w:b/>
                <w:color w:val="FF0000"/>
                <w:sz w:val="22"/>
                <w:szCs w:val="22"/>
                <w:lang w:val="is-IS"/>
              </w:rPr>
              <w:t>#</w:t>
            </w:r>
          </w:p>
        </w:tc>
        <w:tc>
          <w:tcPr>
            <w:tcW w:w="850" w:type="dxa"/>
            <w:vAlign w:val="center"/>
          </w:tcPr>
          <w:p w:rsidR="00AB6DAD" w:rsidRPr="00C4246A" w:rsidRDefault="00AB6DAD" w:rsidP="00674FB4">
            <w:pPr>
              <w:rPr>
                <w:b/>
                <w:sz w:val="22"/>
                <w:szCs w:val="22"/>
                <w:lang w:val="is-IS"/>
              </w:rPr>
            </w:pPr>
            <w:r w:rsidRPr="00C4246A">
              <w:rPr>
                <w:b/>
                <w:sz w:val="22"/>
                <w:szCs w:val="22"/>
                <w:lang w:val="is-IS"/>
              </w:rPr>
              <w:t>Liður</w:t>
            </w:r>
          </w:p>
        </w:tc>
        <w:tc>
          <w:tcPr>
            <w:tcW w:w="7697" w:type="dxa"/>
            <w:vAlign w:val="center"/>
          </w:tcPr>
          <w:p w:rsidR="00AB6DAD" w:rsidRPr="00C4246A" w:rsidRDefault="00AB6DAD" w:rsidP="00674FB4">
            <w:pPr>
              <w:rPr>
                <w:b/>
                <w:sz w:val="22"/>
                <w:szCs w:val="22"/>
              </w:rPr>
            </w:pPr>
            <w:proofErr w:type="spellStart"/>
            <w:r w:rsidRPr="00C4246A">
              <w:rPr>
                <w:b/>
                <w:sz w:val="22"/>
                <w:szCs w:val="22"/>
              </w:rPr>
              <w:t>Efni</w:t>
            </w:r>
            <w:proofErr w:type="spellEnd"/>
          </w:p>
        </w:tc>
      </w:tr>
      <w:tr w:rsidR="001C48A2" w:rsidRPr="001C333F" w:rsidTr="001C333F">
        <w:tc>
          <w:tcPr>
            <w:tcW w:w="1101" w:type="dxa"/>
          </w:tcPr>
          <w:p w:rsidR="001C48A2" w:rsidRPr="001C333F" w:rsidRDefault="001C48A2" w:rsidP="00A12814">
            <w:pPr>
              <w:rPr>
                <w:b/>
                <w:color w:val="FF0000"/>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1.</w:t>
            </w:r>
          </w:p>
        </w:tc>
        <w:tc>
          <w:tcPr>
            <w:tcW w:w="7697" w:type="dxa"/>
            <w:vAlign w:val="center"/>
          </w:tcPr>
          <w:p w:rsidR="001C48A2" w:rsidRPr="001C333F" w:rsidRDefault="008A365F" w:rsidP="008A365F">
            <w:pPr>
              <w:rPr>
                <w:sz w:val="22"/>
                <w:szCs w:val="22"/>
                <w:lang w:val="is-IS"/>
              </w:rPr>
            </w:pPr>
            <w:r w:rsidRPr="001C333F">
              <w:rPr>
                <w:b/>
                <w:sz w:val="22"/>
                <w:szCs w:val="22"/>
              </w:rPr>
              <w:t>ÁBYRGIR AÐILAR</w:t>
            </w:r>
          </w:p>
        </w:tc>
      </w:tr>
      <w:tr w:rsidR="001C48A2" w:rsidRPr="001C333F" w:rsidTr="001C333F">
        <w:trPr>
          <w:trHeight w:val="490"/>
        </w:trPr>
        <w:tc>
          <w:tcPr>
            <w:tcW w:w="1101" w:type="dxa"/>
          </w:tcPr>
          <w:p w:rsidR="001C48A2" w:rsidRPr="001C333F" w:rsidRDefault="001C48A2" w:rsidP="00A12814">
            <w:pPr>
              <w:rPr>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1.1.</w:t>
            </w:r>
          </w:p>
        </w:tc>
        <w:tc>
          <w:tcPr>
            <w:tcW w:w="7697" w:type="dxa"/>
            <w:vAlign w:val="center"/>
          </w:tcPr>
          <w:p w:rsidR="001C48A2" w:rsidRPr="001C333F" w:rsidRDefault="008F5D1B" w:rsidP="008F5D1B">
            <w:pPr>
              <w:rPr>
                <w:sz w:val="22"/>
                <w:szCs w:val="22"/>
                <w:lang w:val="is-IS"/>
              </w:rPr>
            </w:pPr>
            <w:r w:rsidRPr="001C333F">
              <w:rPr>
                <w:sz w:val="22"/>
                <w:szCs w:val="22"/>
                <w:lang w:val="is-IS"/>
              </w:rPr>
              <w:t>Tilgreina skal alla aðila sem eru ábyrgir fyrir upplýsingum í útgefanda</w:t>
            </w:r>
            <w:r w:rsidRPr="001C333F">
              <w:rPr>
                <w:sz w:val="22"/>
                <w:szCs w:val="22"/>
                <w:lang w:val="is-IS"/>
              </w:rPr>
              <w:softHyphen/>
              <w:t>lýsingunni, og, eftir atvikum, fyrir tilteknum hlutum hennar og í því tilviki skal tilgreina þá hluta sem þeir eru ábyrgir fyrir. Ef um er að ræða einstaklinga, þ.m.t. aðilar að stjórn, framkvæmdastjórn eða eftirlitsstjórn útgefandans, skulu þeir tilgreindir með nafni og stöðuheiti. Ef um er að ræða lögaðila skal tilgreina nafn þeirra og skráða skrifstofu.</w:t>
            </w:r>
          </w:p>
        </w:tc>
      </w:tr>
      <w:tr w:rsidR="001C48A2" w:rsidRPr="001C333F" w:rsidTr="001C333F">
        <w:tc>
          <w:tcPr>
            <w:tcW w:w="1101" w:type="dxa"/>
          </w:tcPr>
          <w:p w:rsidR="001C48A2" w:rsidRPr="001C333F" w:rsidRDefault="001C48A2" w:rsidP="00A12814">
            <w:pPr>
              <w:rPr>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1.2.</w:t>
            </w:r>
          </w:p>
        </w:tc>
        <w:tc>
          <w:tcPr>
            <w:tcW w:w="7697" w:type="dxa"/>
            <w:vAlign w:val="center"/>
          </w:tcPr>
          <w:p w:rsidR="001C48A2" w:rsidRPr="001C333F" w:rsidRDefault="008F5D1B" w:rsidP="008F5D1B">
            <w:pPr>
              <w:rPr>
                <w:sz w:val="22"/>
                <w:szCs w:val="22"/>
                <w:lang w:val="is-IS"/>
              </w:rPr>
            </w:pPr>
            <w:r w:rsidRPr="001C333F">
              <w:rPr>
                <w:sz w:val="22"/>
                <w:szCs w:val="22"/>
                <w:lang w:val="is-IS"/>
              </w:rPr>
              <w:t>Yfirlýsing frá þeim sem eru ábyrgir fyrir útgefandalýsingunni þess efnis að samkvæmt þeirra bestu vitund séu upplýsingarnar, sem útgefandalýsingin hefur að geyma, í samræmi við staðreyndir og að engum upplýsingum sé sleppt sem kunna að skipta máli varðandi áreiðanleika hennar. Eftir atvikum, yfirlýsing frá þeim sem eru ábyrgir fyrir tilteknum hlutum útgefandalýsingarinnar þess efnis að samkvæmt þeirra bestu vitund séu upplýsingarnar, sem er að finna í þeim hluta útgefandalýsingarinnar sem þeir eru ábyrgir fyrir, í samræmi við staðreyndir og að engum upplýsingum sé sleppt sem kunna að skipta máli varðandi áreiðanleika hans.</w:t>
            </w:r>
          </w:p>
        </w:tc>
      </w:tr>
      <w:tr w:rsidR="001C48A2" w:rsidRPr="001C333F" w:rsidTr="001C333F">
        <w:trPr>
          <w:trHeight w:val="28"/>
        </w:trPr>
        <w:tc>
          <w:tcPr>
            <w:tcW w:w="1101" w:type="dxa"/>
          </w:tcPr>
          <w:p w:rsidR="001C48A2" w:rsidRPr="001C333F" w:rsidRDefault="001C48A2" w:rsidP="00A12814">
            <w:pPr>
              <w:rPr>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2.</w:t>
            </w:r>
          </w:p>
        </w:tc>
        <w:tc>
          <w:tcPr>
            <w:tcW w:w="7697" w:type="dxa"/>
            <w:vAlign w:val="center"/>
          </w:tcPr>
          <w:p w:rsidR="001C48A2" w:rsidRPr="001C333F" w:rsidRDefault="008A365F" w:rsidP="008A365F">
            <w:pPr>
              <w:rPr>
                <w:sz w:val="22"/>
                <w:szCs w:val="22"/>
                <w:lang w:val="is-IS"/>
              </w:rPr>
            </w:pPr>
            <w:r w:rsidRPr="001C333F">
              <w:rPr>
                <w:b/>
                <w:sz w:val="22"/>
                <w:szCs w:val="22"/>
              </w:rPr>
              <w:t>LÖGGILTIR ENDURSKOÐENDUR</w:t>
            </w:r>
          </w:p>
        </w:tc>
      </w:tr>
      <w:tr w:rsidR="001C48A2" w:rsidRPr="001C333F" w:rsidTr="001C333F">
        <w:trPr>
          <w:trHeight w:val="28"/>
        </w:trPr>
        <w:tc>
          <w:tcPr>
            <w:tcW w:w="1101" w:type="dxa"/>
          </w:tcPr>
          <w:p w:rsidR="001C48A2" w:rsidRPr="001C333F" w:rsidRDefault="001C48A2" w:rsidP="00A12814">
            <w:pPr>
              <w:rPr>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2.1.</w:t>
            </w:r>
          </w:p>
        </w:tc>
        <w:tc>
          <w:tcPr>
            <w:tcW w:w="7697" w:type="dxa"/>
            <w:vAlign w:val="center"/>
          </w:tcPr>
          <w:p w:rsidR="001C48A2" w:rsidRPr="001C333F" w:rsidRDefault="003665B6" w:rsidP="003665B6">
            <w:pPr>
              <w:rPr>
                <w:sz w:val="22"/>
                <w:szCs w:val="22"/>
                <w:lang w:val="is-IS"/>
              </w:rPr>
            </w:pPr>
            <w:r w:rsidRPr="001C333F">
              <w:rPr>
                <w:sz w:val="22"/>
                <w:szCs w:val="22"/>
                <w:lang w:val="is-IS"/>
              </w:rPr>
              <w:t>Nöfn og heimilisföng endurskoðenda útgefandans á því tímabili sem sögulegar fjárhagslegar upplýsingar taka til (ásamt aðild þeirra að faglegum samtökum).</w:t>
            </w:r>
          </w:p>
        </w:tc>
      </w:tr>
      <w:tr w:rsidR="001C48A2" w:rsidRPr="001C333F" w:rsidTr="001C333F">
        <w:trPr>
          <w:trHeight w:val="176"/>
        </w:trPr>
        <w:tc>
          <w:tcPr>
            <w:tcW w:w="1101" w:type="dxa"/>
          </w:tcPr>
          <w:p w:rsidR="001C48A2" w:rsidRPr="001C333F" w:rsidRDefault="001C48A2" w:rsidP="00A12814">
            <w:pPr>
              <w:rPr>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2.2.</w:t>
            </w:r>
          </w:p>
        </w:tc>
        <w:tc>
          <w:tcPr>
            <w:tcW w:w="7697" w:type="dxa"/>
            <w:vAlign w:val="center"/>
          </w:tcPr>
          <w:p w:rsidR="001C48A2" w:rsidRPr="001C333F" w:rsidRDefault="003665B6" w:rsidP="003665B6">
            <w:pPr>
              <w:rPr>
                <w:sz w:val="22"/>
                <w:szCs w:val="22"/>
                <w:lang w:val="is-IS"/>
              </w:rPr>
            </w:pPr>
            <w:r w:rsidRPr="001C333F">
              <w:rPr>
                <w:sz w:val="22"/>
                <w:szCs w:val="22"/>
                <w:lang w:val="is-IS"/>
              </w:rPr>
              <w:t>Ef endurskoðendur hafa sagt starfi sínu lausu, verið leystir frá störfum eða ekki verið endurkjörnir á því tímabili sem sögulegar fjárhagslegar upplýsingar taka til, skal tilgreina allar upplýsingar sem máli skipta.</w:t>
            </w:r>
          </w:p>
        </w:tc>
      </w:tr>
      <w:tr w:rsidR="001C48A2" w:rsidRPr="001C333F" w:rsidTr="001C333F">
        <w:trPr>
          <w:trHeight w:val="28"/>
        </w:trPr>
        <w:tc>
          <w:tcPr>
            <w:tcW w:w="1101" w:type="dxa"/>
          </w:tcPr>
          <w:p w:rsidR="001C48A2" w:rsidRPr="001C333F" w:rsidRDefault="001C48A2" w:rsidP="00A12814">
            <w:pPr>
              <w:rPr>
                <w:sz w:val="22"/>
                <w:szCs w:val="22"/>
                <w:lang w:val="is-IS"/>
              </w:rPr>
            </w:pPr>
          </w:p>
        </w:tc>
        <w:tc>
          <w:tcPr>
            <w:tcW w:w="850" w:type="dxa"/>
          </w:tcPr>
          <w:p w:rsidR="001C48A2" w:rsidRPr="001C333F" w:rsidRDefault="008A365F" w:rsidP="00A12814">
            <w:pPr>
              <w:rPr>
                <w:b/>
                <w:sz w:val="22"/>
                <w:szCs w:val="22"/>
                <w:lang w:val="is-IS"/>
              </w:rPr>
            </w:pPr>
            <w:r w:rsidRPr="001C333F">
              <w:rPr>
                <w:b/>
                <w:sz w:val="22"/>
                <w:szCs w:val="22"/>
                <w:lang w:val="is-IS"/>
              </w:rPr>
              <w:t>3.</w:t>
            </w:r>
          </w:p>
        </w:tc>
        <w:tc>
          <w:tcPr>
            <w:tcW w:w="7697" w:type="dxa"/>
            <w:vAlign w:val="center"/>
          </w:tcPr>
          <w:p w:rsidR="001C48A2" w:rsidRPr="001C333F" w:rsidRDefault="008A365F" w:rsidP="008A365F">
            <w:pPr>
              <w:rPr>
                <w:sz w:val="22"/>
                <w:szCs w:val="22"/>
                <w:lang w:val="is-IS"/>
              </w:rPr>
            </w:pPr>
            <w:r w:rsidRPr="001C333F">
              <w:rPr>
                <w:b/>
                <w:sz w:val="22"/>
                <w:szCs w:val="22"/>
              </w:rPr>
              <w:t>VALDAR FJÁRHAGSUPPLÝSINGAR</w:t>
            </w:r>
          </w:p>
        </w:tc>
      </w:tr>
      <w:tr w:rsidR="003665B6" w:rsidRPr="001C333F" w:rsidTr="001C333F">
        <w:trPr>
          <w:trHeight w:val="477"/>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3.1.</w:t>
            </w:r>
          </w:p>
        </w:tc>
        <w:tc>
          <w:tcPr>
            <w:tcW w:w="7697" w:type="dxa"/>
            <w:vAlign w:val="center"/>
          </w:tcPr>
          <w:p w:rsidR="003665B6" w:rsidRPr="001C333F" w:rsidRDefault="003665B6" w:rsidP="003665B6">
            <w:pPr>
              <w:rPr>
                <w:sz w:val="22"/>
                <w:szCs w:val="22"/>
                <w:lang w:val="is-IS"/>
              </w:rPr>
            </w:pPr>
            <w:r w:rsidRPr="001C333F">
              <w:rPr>
                <w:sz w:val="22"/>
                <w:szCs w:val="22"/>
                <w:lang w:val="is-IS"/>
              </w:rPr>
              <w:t>Valdar sögulegar fjárhagsupplýsingar um útgefanda, fyrir hvert fjárhagsár sem sögulegar fjárhagsupplýsingar taka til, ásamt öllum síðari fjárhagsupplýsingum fyrir árshlutatímabil ef einhver eru, í sama gjaldmiðli og fjárhagsupplýsingarnar.</w:t>
            </w:r>
          </w:p>
          <w:p w:rsidR="003665B6" w:rsidRPr="001C333F" w:rsidRDefault="003665B6" w:rsidP="003665B6">
            <w:pPr>
              <w:rPr>
                <w:sz w:val="22"/>
                <w:szCs w:val="22"/>
                <w:lang w:val="is-IS"/>
              </w:rPr>
            </w:pPr>
          </w:p>
          <w:p w:rsidR="003665B6" w:rsidRPr="001C333F" w:rsidRDefault="003665B6" w:rsidP="008A365F">
            <w:pPr>
              <w:rPr>
                <w:sz w:val="22"/>
                <w:szCs w:val="22"/>
                <w:lang w:val="is-IS"/>
              </w:rPr>
            </w:pPr>
            <w:r w:rsidRPr="001C333F">
              <w:rPr>
                <w:sz w:val="22"/>
                <w:szCs w:val="22"/>
                <w:lang w:val="is-IS"/>
              </w:rPr>
              <w:t>Í völdum sögulegum fjárhagsupplýsingum verða að koma fram lykiltölur sem gefa yfirlit yfir fjárhagsstöðu útgefanda.</w:t>
            </w:r>
          </w:p>
        </w:tc>
      </w:tr>
      <w:tr w:rsidR="003665B6" w:rsidRPr="001C333F" w:rsidTr="001C333F">
        <w:trPr>
          <w:trHeight w:val="354"/>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3.2.</w:t>
            </w:r>
          </w:p>
        </w:tc>
        <w:tc>
          <w:tcPr>
            <w:tcW w:w="7697" w:type="dxa"/>
            <w:vAlign w:val="center"/>
          </w:tcPr>
          <w:p w:rsidR="003665B6" w:rsidRPr="001C333F" w:rsidRDefault="003665B6" w:rsidP="003665B6">
            <w:pPr>
              <w:rPr>
                <w:sz w:val="22"/>
                <w:szCs w:val="22"/>
                <w:lang w:val="is-IS"/>
              </w:rPr>
            </w:pPr>
            <w:r w:rsidRPr="001C333F">
              <w:rPr>
                <w:sz w:val="22"/>
                <w:szCs w:val="22"/>
                <w:lang w:val="is-IS"/>
              </w:rPr>
              <w:t>Ef valdar fjárhagsupplýsingar árshluta eru lagðar fram verður einnig að leggja fram samanburðarupplýsingar fyrir sama tímabil fyrra fjárhagsárs, að undanskildu því að krafan um samanburðarupplýsingar um efnahagsreikning</w:t>
            </w:r>
          </w:p>
          <w:p w:rsidR="003665B6" w:rsidRPr="001C333F" w:rsidRDefault="003665B6" w:rsidP="003665B6">
            <w:pPr>
              <w:rPr>
                <w:sz w:val="22"/>
                <w:szCs w:val="22"/>
                <w:lang w:val="is-IS"/>
              </w:rPr>
            </w:pPr>
            <w:r w:rsidRPr="001C333F">
              <w:rPr>
                <w:sz w:val="22"/>
                <w:szCs w:val="22"/>
                <w:lang w:val="is-IS"/>
              </w:rPr>
              <w:t>telst uppfyllt ef lagðar eru fram árslokaupplýsingar úr efnahagsreikningi.</w:t>
            </w:r>
          </w:p>
        </w:tc>
      </w:tr>
      <w:tr w:rsidR="003665B6" w:rsidRPr="001C333F" w:rsidTr="001C333F">
        <w:trPr>
          <w:trHeight w:val="356"/>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4.</w:t>
            </w:r>
          </w:p>
        </w:tc>
        <w:tc>
          <w:tcPr>
            <w:tcW w:w="7697" w:type="dxa"/>
            <w:vAlign w:val="center"/>
          </w:tcPr>
          <w:p w:rsidR="003665B6" w:rsidRPr="001C333F" w:rsidRDefault="003665B6" w:rsidP="008A365F">
            <w:pPr>
              <w:rPr>
                <w:b/>
                <w:sz w:val="22"/>
                <w:szCs w:val="22"/>
              </w:rPr>
            </w:pPr>
            <w:r w:rsidRPr="001C333F">
              <w:rPr>
                <w:b/>
                <w:sz w:val="22"/>
                <w:szCs w:val="22"/>
              </w:rPr>
              <w:t>ÁHÆTTUÞÆTTIR</w:t>
            </w:r>
          </w:p>
          <w:p w:rsidR="003665B6" w:rsidRPr="001C333F" w:rsidRDefault="003665B6" w:rsidP="008A365F">
            <w:pPr>
              <w:rPr>
                <w:b/>
                <w:sz w:val="22"/>
                <w:szCs w:val="22"/>
              </w:rPr>
            </w:pPr>
          </w:p>
          <w:p w:rsidR="003665B6" w:rsidRPr="001C333F" w:rsidRDefault="003665B6" w:rsidP="003665B6">
            <w:pPr>
              <w:tabs>
                <w:tab w:val="left" w:pos="7485"/>
              </w:tabs>
              <w:rPr>
                <w:sz w:val="22"/>
                <w:szCs w:val="22"/>
                <w:lang w:val="is-IS"/>
              </w:rPr>
            </w:pPr>
            <w:r w:rsidRPr="001C333F">
              <w:rPr>
                <w:sz w:val="22"/>
                <w:szCs w:val="22"/>
                <w:lang w:val="is-IS"/>
              </w:rPr>
              <w:t>Upplýsingar um áhættuþætti, sem geta haft áhrif á getu útgefandans til að uppfylla skuldbindingar gagnvart fjárfestum í tengslum við verðbréfin skulu birtar á áberandi stað í kafla sem ber yfirskriftina „Áhættuþættir“.</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w:t>
            </w:r>
          </w:p>
        </w:tc>
        <w:tc>
          <w:tcPr>
            <w:tcW w:w="7697" w:type="dxa"/>
            <w:vAlign w:val="center"/>
          </w:tcPr>
          <w:p w:rsidR="003665B6" w:rsidRPr="001C333F" w:rsidRDefault="003665B6" w:rsidP="008A365F">
            <w:pPr>
              <w:rPr>
                <w:sz w:val="22"/>
                <w:szCs w:val="22"/>
                <w:lang w:val="is-IS"/>
              </w:rPr>
            </w:pPr>
            <w:r w:rsidRPr="001C333F">
              <w:rPr>
                <w:b/>
                <w:sz w:val="22"/>
                <w:szCs w:val="22"/>
                <w:lang w:val="da-DK"/>
              </w:rPr>
              <w:t>UPPLÝSINGAR UM ÚTGEFANDANN</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5.1.</w:t>
            </w:r>
          </w:p>
        </w:tc>
        <w:tc>
          <w:tcPr>
            <w:tcW w:w="7697" w:type="dxa"/>
            <w:vAlign w:val="center"/>
          </w:tcPr>
          <w:p w:rsidR="003665B6" w:rsidRPr="001C333F" w:rsidRDefault="003665B6" w:rsidP="008A365F">
            <w:pPr>
              <w:rPr>
                <w:b/>
                <w:sz w:val="22"/>
                <w:szCs w:val="22"/>
                <w:lang w:val="da-DK"/>
              </w:rPr>
            </w:pPr>
            <w:r w:rsidRPr="001C333F">
              <w:rPr>
                <w:i/>
                <w:sz w:val="22"/>
                <w:szCs w:val="22"/>
                <w:lang w:val="da-DK"/>
              </w:rPr>
              <w:t>Saga og þróun útgefandans</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5.1.1.</w:t>
            </w:r>
          </w:p>
        </w:tc>
        <w:tc>
          <w:tcPr>
            <w:tcW w:w="7697" w:type="dxa"/>
            <w:vAlign w:val="center"/>
          </w:tcPr>
          <w:p w:rsidR="003665B6" w:rsidRPr="001C333F" w:rsidRDefault="003665B6" w:rsidP="008A365F">
            <w:pPr>
              <w:rPr>
                <w:sz w:val="22"/>
                <w:szCs w:val="22"/>
                <w:lang w:val="da-DK"/>
              </w:rPr>
            </w:pPr>
            <w:r w:rsidRPr="001C333F">
              <w:rPr>
                <w:sz w:val="22"/>
                <w:szCs w:val="22"/>
                <w:lang w:val="is-IS" w:eastAsia="is-IS"/>
              </w:rPr>
              <w:t>Lögheiti og viðskiptaheiti útgefanda,</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5.1.2.</w:t>
            </w:r>
          </w:p>
        </w:tc>
        <w:tc>
          <w:tcPr>
            <w:tcW w:w="7697" w:type="dxa"/>
            <w:vAlign w:val="center"/>
          </w:tcPr>
          <w:p w:rsidR="003665B6" w:rsidRPr="001C333F" w:rsidRDefault="003665B6" w:rsidP="009C0ABD">
            <w:pPr>
              <w:autoSpaceDE w:val="0"/>
              <w:autoSpaceDN w:val="0"/>
              <w:adjustRightInd w:val="0"/>
              <w:rPr>
                <w:sz w:val="22"/>
                <w:szCs w:val="22"/>
                <w:lang w:val="is-IS" w:eastAsia="is-IS"/>
              </w:rPr>
            </w:pPr>
            <w:r w:rsidRPr="001C333F">
              <w:rPr>
                <w:sz w:val="22"/>
                <w:szCs w:val="22"/>
                <w:lang w:val="is-IS" w:eastAsia="is-IS"/>
              </w:rPr>
              <w:t>skráningarstaður útgefanda og skráningarnúmer hans,</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5.1.3.</w:t>
            </w:r>
          </w:p>
        </w:tc>
        <w:tc>
          <w:tcPr>
            <w:tcW w:w="7697" w:type="dxa"/>
            <w:vAlign w:val="center"/>
          </w:tcPr>
          <w:p w:rsidR="003665B6" w:rsidRPr="001C333F" w:rsidRDefault="003665B6" w:rsidP="009C0ABD">
            <w:pPr>
              <w:autoSpaceDE w:val="0"/>
              <w:autoSpaceDN w:val="0"/>
              <w:adjustRightInd w:val="0"/>
              <w:rPr>
                <w:sz w:val="22"/>
                <w:szCs w:val="22"/>
                <w:lang w:val="is-IS" w:eastAsia="is-IS"/>
              </w:rPr>
            </w:pPr>
            <w:r w:rsidRPr="001C333F">
              <w:rPr>
                <w:sz w:val="22"/>
                <w:szCs w:val="22"/>
                <w:lang w:val="is-IS" w:eastAsia="is-IS"/>
              </w:rPr>
              <w:t>stofndagur og rekstrartími útgefanda, sé hann ekki ótiltekinn,</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5.1.4.</w:t>
            </w:r>
          </w:p>
        </w:tc>
        <w:tc>
          <w:tcPr>
            <w:tcW w:w="7697" w:type="dxa"/>
            <w:vAlign w:val="center"/>
          </w:tcPr>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lögheimili útgefandans og rekstrarform hans að lögum, löggjöfin sem útgefandinn starfar samkvæmt, heiti lands þar sem útgefandi er skráður, ásamt heimilisfangi og símanúmeri skráðrar skrifstofu hans (eða höfuðstöðvar</w:t>
            </w:r>
          </w:p>
          <w:p w:rsidR="003665B6" w:rsidRPr="001C333F" w:rsidRDefault="003665B6" w:rsidP="003665B6">
            <w:pPr>
              <w:rPr>
                <w:sz w:val="22"/>
                <w:szCs w:val="22"/>
                <w:lang w:val="is-IS"/>
              </w:rPr>
            </w:pPr>
            <w:r w:rsidRPr="001C333F">
              <w:rPr>
                <w:sz w:val="22"/>
                <w:szCs w:val="22"/>
                <w:lang w:val="is-IS" w:eastAsia="is-IS"/>
              </w:rPr>
              <w:t>útgefandans ef þær eru aðrar en heimilisfang skráðrar skrifstofu hans),</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5.1.5.</w:t>
            </w:r>
          </w:p>
        </w:tc>
        <w:tc>
          <w:tcPr>
            <w:tcW w:w="7697" w:type="dxa"/>
            <w:vAlign w:val="center"/>
          </w:tcPr>
          <w:p w:rsidR="003665B6" w:rsidRPr="001C333F" w:rsidRDefault="003665B6" w:rsidP="008A365F">
            <w:pPr>
              <w:rPr>
                <w:sz w:val="22"/>
                <w:szCs w:val="22"/>
                <w:lang w:val="is-IS"/>
              </w:rPr>
            </w:pPr>
            <w:r w:rsidRPr="001C333F">
              <w:rPr>
                <w:sz w:val="22"/>
                <w:szCs w:val="22"/>
                <w:lang w:val="is-IS" w:eastAsia="is-IS"/>
              </w:rPr>
              <w:t>hvers kyns atburðir sem hafa nýlega átt sér stað og skipta máli við mat á gjaldhæfi útgefanda.</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5.2.</w:t>
            </w:r>
          </w:p>
        </w:tc>
        <w:tc>
          <w:tcPr>
            <w:tcW w:w="7697" w:type="dxa"/>
            <w:vAlign w:val="center"/>
          </w:tcPr>
          <w:p w:rsidR="003665B6" w:rsidRPr="001C333F" w:rsidRDefault="003665B6" w:rsidP="008A365F">
            <w:pPr>
              <w:rPr>
                <w:sz w:val="22"/>
                <w:szCs w:val="22"/>
                <w:lang w:val="is-IS"/>
              </w:rPr>
            </w:pPr>
            <w:r w:rsidRPr="001C333F">
              <w:rPr>
                <w:i/>
                <w:iCs/>
                <w:sz w:val="22"/>
                <w:szCs w:val="22"/>
                <w:lang w:val="is-IS" w:eastAsia="is-IS"/>
              </w:rPr>
              <w:t>Fjárfestingar</w:t>
            </w:r>
          </w:p>
        </w:tc>
      </w:tr>
      <w:tr w:rsidR="003665B6" w:rsidRPr="001C333F" w:rsidTr="001C333F">
        <w:trPr>
          <w:trHeight w:val="192"/>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5.2.1.</w:t>
            </w:r>
          </w:p>
        </w:tc>
        <w:tc>
          <w:tcPr>
            <w:tcW w:w="7697" w:type="dxa"/>
            <w:vAlign w:val="center"/>
          </w:tcPr>
          <w:p w:rsidR="003665B6" w:rsidRPr="001C333F" w:rsidRDefault="003665B6" w:rsidP="009C0ABD">
            <w:pPr>
              <w:autoSpaceDE w:val="0"/>
              <w:autoSpaceDN w:val="0"/>
              <w:adjustRightInd w:val="0"/>
              <w:rPr>
                <w:i/>
                <w:iCs/>
                <w:sz w:val="22"/>
                <w:szCs w:val="22"/>
                <w:lang w:val="is-IS" w:eastAsia="is-IS"/>
              </w:rPr>
            </w:pPr>
            <w:r w:rsidRPr="001C333F">
              <w:rPr>
                <w:sz w:val="22"/>
                <w:szCs w:val="22"/>
                <w:lang w:val="is-IS" w:eastAsia="is-IS"/>
              </w:rPr>
              <w:t>Lýsing á helstu fjárfestingum sem gerðar hafa verið síðan síðustu reikningsskil voru birt.</w:t>
            </w:r>
          </w:p>
        </w:tc>
      </w:tr>
      <w:tr w:rsidR="003665B6" w:rsidRPr="001C333F" w:rsidTr="001C333F">
        <w:trPr>
          <w:trHeight w:val="129"/>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5.2.2.</w:t>
            </w:r>
          </w:p>
        </w:tc>
        <w:tc>
          <w:tcPr>
            <w:tcW w:w="7697" w:type="dxa"/>
            <w:vAlign w:val="center"/>
          </w:tcPr>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Upplýsingar um helstu framtíðarfjárfestingar útgefanda sem stjórnendur hans hafa þegar gert bindandi samninga um.</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5.2.3.</w:t>
            </w:r>
          </w:p>
        </w:tc>
        <w:tc>
          <w:tcPr>
            <w:tcW w:w="7697" w:type="dxa"/>
            <w:vAlign w:val="center"/>
          </w:tcPr>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Upplýsingar um áætlaðar fjármögnunarleiðir sem krafist er til að uppfylla skuldbindingarnar sem um getur í lið 5.2.2.</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6.</w:t>
            </w:r>
          </w:p>
        </w:tc>
        <w:tc>
          <w:tcPr>
            <w:tcW w:w="7697" w:type="dxa"/>
            <w:vAlign w:val="center"/>
          </w:tcPr>
          <w:p w:rsidR="003665B6" w:rsidRPr="001C333F" w:rsidRDefault="003665B6" w:rsidP="009C0ABD">
            <w:pPr>
              <w:autoSpaceDE w:val="0"/>
              <w:autoSpaceDN w:val="0"/>
              <w:adjustRightInd w:val="0"/>
              <w:rPr>
                <w:sz w:val="22"/>
                <w:szCs w:val="22"/>
                <w:lang w:val="is-IS" w:eastAsia="is-IS"/>
              </w:rPr>
            </w:pPr>
            <w:r w:rsidRPr="001C333F">
              <w:rPr>
                <w:b/>
                <w:bCs/>
                <w:sz w:val="22"/>
                <w:szCs w:val="22"/>
                <w:lang w:val="is-IS" w:eastAsia="is-IS"/>
              </w:rPr>
              <w:t>YFIRLIT YFIR STARFSEMI</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6.1.</w:t>
            </w:r>
          </w:p>
        </w:tc>
        <w:tc>
          <w:tcPr>
            <w:tcW w:w="7697" w:type="dxa"/>
            <w:vAlign w:val="center"/>
          </w:tcPr>
          <w:p w:rsidR="003665B6" w:rsidRPr="001C333F" w:rsidRDefault="003665B6" w:rsidP="008A365F">
            <w:pPr>
              <w:rPr>
                <w:sz w:val="22"/>
                <w:szCs w:val="22"/>
                <w:lang w:val="is-IS"/>
              </w:rPr>
            </w:pPr>
            <w:r w:rsidRPr="001C333F">
              <w:rPr>
                <w:i/>
                <w:iCs/>
                <w:sz w:val="22"/>
                <w:szCs w:val="22"/>
                <w:lang w:val="is-IS" w:eastAsia="is-IS"/>
              </w:rPr>
              <w:t>Helsta starfsemi</w:t>
            </w:r>
          </w:p>
        </w:tc>
      </w:tr>
      <w:tr w:rsidR="003665B6" w:rsidRPr="001C333F" w:rsidTr="001C333F">
        <w:trPr>
          <w:trHeight w:val="342"/>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6.1.1.</w:t>
            </w:r>
          </w:p>
        </w:tc>
        <w:tc>
          <w:tcPr>
            <w:tcW w:w="7697" w:type="dxa"/>
            <w:vAlign w:val="center"/>
          </w:tcPr>
          <w:p w:rsidR="003665B6" w:rsidRPr="001C333F" w:rsidRDefault="003665B6" w:rsidP="003665B6">
            <w:pPr>
              <w:autoSpaceDE w:val="0"/>
              <w:autoSpaceDN w:val="0"/>
              <w:adjustRightInd w:val="0"/>
              <w:rPr>
                <w:i/>
                <w:iCs/>
                <w:sz w:val="22"/>
                <w:szCs w:val="22"/>
                <w:lang w:val="is-IS" w:eastAsia="is-IS"/>
              </w:rPr>
            </w:pPr>
            <w:r w:rsidRPr="001C333F">
              <w:rPr>
                <w:sz w:val="22"/>
                <w:szCs w:val="22"/>
                <w:lang w:val="is-IS" w:eastAsia="is-IS"/>
              </w:rPr>
              <w:t>Lýsing á helstu starfsemi útgefanda þar sem getið er helstu afurða og vöruflokka sem seldir eru og/eða þjónustu sem er veitt, og</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6.1.2.</w:t>
            </w:r>
          </w:p>
        </w:tc>
        <w:tc>
          <w:tcPr>
            <w:tcW w:w="7697" w:type="dxa"/>
            <w:vAlign w:val="center"/>
          </w:tcPr>
          <w:p w:rsidR="003665B6" w:rsidRPr="001C333F" w:rsidRDefault="003665B6" w:rsidP="009C0ABD">
            <w:pPr>
              <w:autoSpaceDE w:val="0"/>
              <w:autoSpaceDN w:val="0"/>
              <w:adjustRightInd w:val="0"/>
              <w:rPr>
                <w:sz w:val="22"/>
                <w:szCs w:val="22"/>
                <w:lang w:val="is-IS" w:eastAsia="is-IS"/>
              </w:rPr>
            </w:pPr>
            <w:r w:rsidRPr="001C333F">
              <w:rPr>
                <w:sz w:val="22"/>
                <w:szCs w:val="22"/>
                <w:lang w:val="is-IS" w:eastAsia="is-IS"/>
              </w:rPr>
              <w:t>upplýsingar um allar mikilvægar, nýjar afurðir og vörur og/eða starfsemi.</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6.2.</w:t>
            </w:r>
          </w:p>
        </w:tc>
        <w:tc>
          <w:tcPr>
            <w:tcW w:w="7697" w:type="dxa"/>
            <w:vAlign w:val="center"/>
          </w:tcPr>
          <w:p w:rsidR="003665B6" w:rsidRPr="001C333F" w:rsidRDefault="003665B6" w:rsidP="003665B6">
            <w:pPr>
              <w:autoSpaceDE w:val="0"/>
              <w:autoSpaceDN w:val="0"/>
              <w:adjustRightInd w:val="0"/>
              <w:rPr>
                <w:i/>
                <w:iCs/>
                <w:sz w:val="22"/>
                <w:szCs w:val="22"/>
                <w:lang w:val="is-IS" w:eastAsia="is-IS"/>
              </w:rPr>
            </w:pPr>
            <w:r w:rsidRPr="001C333F">
              <w:rPr>
                <w:i/>
                <w:iCs/>
                <w:sz w:val="22"/>
                <w:szCs w:val="22"/>
                <w:lang w:val="is-IS" w:eastAsia="is-IS"/>
              </w:rPr>
              <w:t>Helstu markaðir</w:t>
            </w:r>
          </w:p>
          <w:p w:rsidR="003665B6" w:rsidRPr="001C333F" w:rsidRDefault="003665B6" w:rsidP="003665B6">
            <w:pPr>
              <w:autoSpaceDE w:val="0"/>
              <w:autoSpaceDN w:val="0"/>
              <w:adjustRightInd w:val="0"/>
              <w:rPr>
                <w:sz w:val="22"/>
                <w:szCs w:val="22"/>
                <w:lang w:val="is-IS" w:eastAsia="is-IS"/>
              </w:rPr>
            </w:pPr>
            <w:r w:rsidRPr="001C333F">
              <w:rPr>
                <w:iCs/>
                <w:sz w:val="22"/>
                <w:szCs w:val="22"/>
                <w:lang w:val="is-IS" w:eastAsia="is-IS"/>
              </w:rPr>
              <w:t>Stutt lýsing á helstu mörkuðum þar sem útgefandi tekur þátt í samkeppni.</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6.3.</w:t>
            </w:r>
          </w:p>
        </w:tc>
        <w:tc>
          <w:tcPr>
            <w:tcW w:w="7697" w:type="dxa"/>
            <w:vAlign w:val="center"/>
          </w:tcPr>
          <w:p w:rsidR="003665B6" w:rsidRPr="001C333F" w:rsidRDefault="003665B6" w:rsidP="009C0ABD">
            <w:pPr>
              <w:autoSpaceDE w:val="0"/>
              <w:autoSpaceDN w:val="0"/>
              <w:adjustRightInd w:val="0"/>
              <w:rPr>
                <w:i/>
                <w:iCs/>
                <w:sz w:val="22"/>
                <w:szCs w:val="22"/>
                <w:lang w:val="is-IS" w:eastAsia="is-IS"/>
              </w:rPr>
            </w:pPr>
            <w:r w:rsidRPr="001C333F">
              <w:rPr>
                <w:sz w:val="22"/>
                <w:szCs w:val="22"/>
                <w:lang w:val="is-IS" w:eastAsia="is-IS"/>
              </w:rPr>
              <w:t>Ef útgefandinn gefur yfirlýsingu um samkeppnisstöðu sína skal greina frá því á hvaða grunni hún er byggð.</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7.</w:t>
            </w:r>
          </w:p>
        </w:tc>
        <w:tc>
          <w:tcPr>
            <w:tcW w:w="7697" w:type="dxa"/>
            <w:vAlign w:val="center"/>
          </w:tcPr>
          <w:p w:rsidR="003665B6" w:rsidRPr="001C333F" w:rsidRDefault="003665B6" w:rsidP="009C0ABD">
            <w:pPr>
              <w:autoSpaceDE w:val="0"/>
              <w:autoSpaceDN w:val="0"/>
              <w:adjustRightInd w:val="0"/>
              <w:rPr>
                <w:sz w:val="22"/>
                <w:szCs w:val="22"/>
                <w:lang w:val="is-IS" w:eastAsia="is-IS"/>
              </w:rPr>
            </w:pPr>
            <w:r w:rsidRPr="001C333F">
              <w:rPr>
                <w:b/>
                <w:bCs/>
                <w:sz w:val="22"/>
                <w:szCs w:val="22"/>
                <w:lang w:val="is-IS" w:eastAsia="is-IS"/>
              </w:rPr>
              <w:t>SKIPULAG</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7.1.</w:t>
            </w:r>
          </w:p>
        </w:tc>
        <w:tc>
          <w:tcPr>
            <w:tcW w:w="7697" w:type="dxa"/>
            <w:vAlign w:val="center"/>
          </w:tcPr>
          <w:p w:rsidR="003665B6" w:rsidRPr="001C333F" w:rsidRDefault="003665B6" w:rsidP="009C0ABD">
            <w:pPr>
              <w:autoSpaceDE w:val="0"/>
              <w:autoSpaceDN w:val="0"/>
              <w:adjustRightInd w:val="0"/>
              <w:rPr>
                <w:sz w:val="22"/>
                <w:szCs w:val="22"/>
                <w:lang w:val="is-IS" w:eastAsia="is-IS"/>
              </w:rPr>
            </w:pPr>
            <w:r w:rsidRPr="001C333F">
              <w:rPr>
                <w:sz w:val="22"/>
                <w:szCs w:val="22"/>
                <w:lang w:val="is-IS" w:eastAsia="is-IS"/>
              </w:rPr>
              <w:t>Ef útgefandi er hluti af samstæðu skal gefa stutta lýsingu á henni og stöðu útgefanda innan hennar.</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7.2.</w:t>
            </w:r>
          </w:p>
        </w:tc>
        <w:tc>
          <w:tcPr>
            <w:tcW w:w="7697" w:type="dxa"/>
            <w:vAlign w:val="center"/>
          </w:tcPr>
          <w:p w:rsidR="003665B6" w:rsidRPr="001C333F" w:rsidRDefault="003665B6" w:rsidP="003665B6">
            <w:pPr>
              <w:autoSpaceDE w:val="0"/>
              <w:autoSpaceDN w:val="0"/>
              <w:adjustRightInd w:val="0"/>
              <w:rPr>
                <w:sz w:val="22"/>
                <w:szCs w:val="22"/>
                <w:lang w:val="is-IS"/>
              </w:rPr>
            </w:pPr>
            <w:r w:rsidRPr="001C333F">
              <w:rPr>
                <w:sz w:val="22"/>
                <w:szCs w:val="22"/>
                <w:lang w:val="is-IS" w:eastAsia="is-IS"/>
              </w:rPr>
              <w:t>Ef útgefandi er háður öðrum aðilum innan samstæðunnar skal taka það skýrt fram ásamt skýringu á því hvers vegna hann er háður viðkomandi aðilum.</w:t>
            </w:r>
          </w:p>
        </w:tc>
      </w:tr>
      <w:tr w:rsidR="003665B6" w:rsidRPr="001C333F" w:rsidTr="001C333F">
        <w:trPr>
          <w:trHeight w:val="28"/>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8.</w:t>
            </w:r>
          </w:p>
        </w:tc>
        <w:tc>
          <w:tcPr>
            <w:tcW w:w="7697" w:type="dxa"/>
            <w:vAlign w:val="center"/>
          </w:tcPr>
          <w:p w:rsidR="003665B6" w:rsidRPr="001C333F" w:rsidRDefault="003665B6" w:rsidP="009C0ABD">
            <w:pPr>
              <w:autoSpaceDE w:val="0"/>
              <w:autoSpaceDN w:val="0"/>
              <w:adjustRightInd w:val="0"/>
              <w:rPr>
                <w:b/>
                <w:bCs/>
                <w:sz w:val="22"/>
                <w:szCs w:val="22"/>
                <w:lang w:val="is-IS" w:eastAsia="is-IS"/>
              </w:rPr>
            </w:pPr>
            <w:r w:rsidRPr="001C333F">
              <w:rPr>
                <w:b/>
                <w:bCs/>
                <w:sz w:val="22"/>
                <w:szCs w:val="22"/>
                <w:lang w:val="is-IS" w:eastAsia="is-IS"/>
              </w:rPr>
              <w:t>VARANLEGIR REKSTRARFJÁRMUNIR</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8.1.</w:t>
            </w:r>
          </w:p>
        </w:tc>
        <w:tc>
          <w:tcPr>
            <w:tcW w:w="7697" w:type="dxa"/>
            <w:vAlign w:val="center"/>
          </w:tcPr>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Fylgja skal yfirlýsing þess efnis að ekki hafi orðið neinar verulegar óæskilegar breytingar á framtíðarhorfum útgefanda síðan síðustu endurskoðuðu reikningsskil hans voru birt.</w:t>
            </w:r>
          </w:p>
          <w:p w:rsidR="003665B6" w:rsidRPr="001C333F" w:rsidRDefault="003665B6" w:rsidP="003665B6">
            <w:pPr>
              <w:autoSpaceDE w:val="0"/>
              <w:autoSpaceDN w:val="0"/>
              <w:adjustRightInd w:val="0"/>
              <w:rPr>
                <w:sz w:val="22"/>
                <w:szCs w:val="22"/>
                <w:lang w:val="is-IS" w:eastAsia="is-IS"/>
              </w:rPr>
            </w:pPr>
          </w:p>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Ef útgefandi getur ekki gefið slíka yfirlýsingu skal hann láta í té ítarlegar upplýsingar um þessar verulegu óæskilegu breytingar.</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8.2.</w:t>
            </w:r>
          </w:p>
        </w:tc>
        <w:tc>
          <w:tcPr>
            <w:tcW w:w="7697" w:type="dxa"/>
            <w:vAlign w:val="center"/>
          </w:tcPr>
          <w:p w:rsidR="003665B6" w:rsidRPr="001C333F" w:rsidRDefault="003665B6" w:rsidP="003665B6">
            <w:pPr>
              <w:rPr>
                <w:sz w:val="22"/>
                <w:szCs w:val="22"/>
                <w:lang w:val="is-IS"/>
              </w:rPr>
            </w:pPr>
            <w:r w:rsidRPr="001C333F">
              <w:rPr>
                <w:sz w:val="22"/>
                <w:szCs w:val="22"/>
                <w:lang w:val="is-IS" w:eastAsia="is-IS"/>
              </w:rPr>
              <w:t>Upplýsingar um þekkta þróun, óvissuþætti, kröfur, skuldbindingar eða atburði sem búast má við að hafi veruleg áhrif á framtíðarhorfur útgefanda fyrir a.m.k. yfirstandandi fjárhagsár.</w:t>
            </w:r>
          </w:p>
        </w:tc>
      </w:tr>
      <w:tr w:rsidR="003665B6" w:rsidRPr="001C333F" w:rsidTr="001C333F">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9.</w:t>
            </w:r>
          </w:p>
        </w:tc>
        <w:tc>
          <w:tcPr>
            <w:tcW w:w="7697" w:type="dxa"/>
            <w:vAlign w:val="center"/>
          </w:tcPr>
          <w:p w:rsidR="003665B6" w:rsidRPr="001C333F" w:rsidRDefault="003665B6" w:rsidP="008A365F">
            <w:pPr>
              <w:rPr>
                <w:sz w:val="22"/>
                <w:szCs w:val="22"/>
                <w:lang w:val="is-IS"/>
              </w:rPr>
            </w:pPr>
            <w:r w:rsidRPr="001C333F">
              <w:rPr>
                <w:b/>
                <w:bCs/>
                <w:sz w:val="22"/>
                <w:szCs w:val="22"/>
                <w:lang w:val="is-IS" w:eastAsia="is-IS"/>
              </w:rPr>
              <w:t>AFKOMUSPÁ EÐA ÁÆTLUÐ AFKOMA</w:t>
            </w:r>
          </w:p>
        </w:tc>
      </w:tr>
      <w:tr w:rsidR="003665B6" w:rsidRPr="001C333F" w:rsidTr="001C333F">
        <w:trPr>
          <w:trHeight w:val="515"/>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p>
        </w:tc>
        <w:tc>
          <w:tcPr>
            <w:tcW w:w="7697" w:type="dxa"/>
            <w:vAlign w:val="center"/>
          </w:tcPr>
          <w:p w:rsidR="003665B6" w:rsidRPr="001C333F" w:rsidRDefault="003665B6" w:rsidP="003665B6">
            <w:pPr>
              <w:autoSpaceDE w:val="0"/>
              <w:autoSpaceDN w:val="0"/>
              <w:adjustRightInd w:val="0"/>
              <w:rPr>
                <w:i/>
                <w:iCs/>
                <w:sz w:val="22"/>
                <w:szCs w:val="22"/>
                <w:lang w:val="is-IS" w:eastAsia="is-IS"/>
              </w:rPr>
            </w:pPr>
            <w:r w:rsidRPr="001C333F">
              <w:rPr>
                <w:sz w:val="22"/>
                <w:szCs w:val="22"/>
                <w:lang w:val="is-IS" w:eastAsia="is-IS"/>
              </w:rPr>
              <w:t>Ef útgefandi kýs að fella afkomuspá eða áætlaða afkomu inn í útgefandalýsingu skal hún hafa að geyma upplýsingar sem settar eru fram í liðum 9.1 og 9.2.</w:t>
            </w:r>
          </w:p>
        </w:tc>
      </w:tr>
      <w:tr w:rsidR="003665B6" w:rsidRPr="001C333F" w:rsidTr="001C333F">
        <w:trPr>
          <w:trHeight w:val="962"/>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9.1.</w:t>
            </w:r>
          </w:p>
        </w:tc>
        <w:tc>
          <w:tcPr>
            <w:tcW w:w="7697" w:type="dxa"/>
            <w:vAlign w:val="center"/>
          </w:tcPr>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Yfirlýsing þar sem tilgreindar eru helstu forsendur sem útgefandi byggir afkomuspá sína eða áætlaða afkomu á.</w:t>
            </w:r>
          </w:p>
          <w:p w:rsidR="003665B6" w:rsidRPr="001C333F" w:rsidRDefault="003665B6" w:rsidP="003665B6">
            <w:pPr>
              <w:autoSpaceDE w:val="0"/>
              <w:autoSpaceDN w:val="0"/>
              <w:adjustRightInd w:val="0"/>
              <w:rPr>
                <w:sz w:val="22"/>
                <w:szCs w:val="22"/>
                <w:lang w:val="is-IS" w:eastAsia="is-IS"/>
              </w:rPr>
            </w:pPr>
          </w:p>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Gera verður skýran greinarmun á forsendum sem aðilar að stjórn, framkvæmdastjórn eða eftirlitsstjórn geta haft áhrif á og forsendum sem liggja alveg utan áhrifasviðs þessara aðila. Forsendurnar skulu vera auðskiljanlegar</w:t>
            </w:r>
          </w:p>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fjárfestum, vera sértækar og nákvæmar og mega ekki tengjast almennri nákvæmni áætlaðrar afkomu sem liggur til grundvallar afkomuspánni.</w:t>
            </w:r>
          </w:p>
        </w:tc>
      </w:tr>
      <w:tr w:rsidR="003665B6" w:rsidRPr="001C333F" w:rsidTr="001C333F">
        <w:trPr>
          <w:trHeight w:val="703"/>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A12814">
            <w:pPr>
              <w:rPr>
                <w:b/>
                <w:sz w:val="22"/>
                <w:szCs w:val="22"/>
                <w:lang w:val="is-IS"/>
              </w:rPr>
            </w:pPr>
            <w:r w:rsidRPr="001C333F">
              <w:rPr>
                <w:b/>
                <w:sz w:val="22"/>
                <w:szCs w:val="22"/>
                <w:lang w:val="is-IS"/>
              </w:rPr>
              <w:t>9.2.</w:t>
            </w:r>
          </w:p>
        </w:tc>
        <w:tc>
          <w:tcPr>
            <w:tcW w:w="7697" w:type="dxa"/>
            <w:vAlign w:val="center"/>
          </w:tcPr>
          <w:p w:rsidR="003665B6" w:rsidRPr="001C333F" w:rsidRDefault="003665B6" w:rsidP="003665B6">
            <w:pPr>
              <w:autoSpaceDE w:val="0"/>
              <w:autoSpaceDN w:val="0"/>
              <w:adjustRightInd w:val="0"/>
              <w:rPr>
                <w:sz w:val="22"/>
                <w:szCs w:val="22"/>
                <w:lang w:val="is-IS" w:eastAsia="is-IS"/>
              </w:rPr>
            </w:pPr>
            <w:r w:rsidRPr="001C333F">
              <w:rPr>
                <w:sz w:val="22"/>
                <w:szCs w:val="22"/>
                <w:lang w:val="is-IS" w:eastAsia="is-IS"/>
              </w:rPr>
              <w:t>Skýrsla, sem óháðir skoðunarmenn eða endurskoðendur semja, skal fylgja með þar sem því er lýst yfir að að áliti</w:t>
            </w:r>
            <w:r w:rsidR="0032318D" w:rsidRPr="001C333F">
              <w:rPr>
                <w:sz w:val="22"/>
                <w:szCs w:val="22"/>
                <w:lang w:val="is-IS" w:eastAsia="is-IS"/>
              </w:rPr>
              <w:t xml:space="preserve"> </w:t>
            </w:r>
            <w:r w:rsidRPr="001C333F">
              <w:rPr>
                <w:sz w:val="22"/>
                <w:szCs w:val="22"/>
                <w:lang w:val="is-IS" w:eastAsia="is-IS"/>
              </w:rPr>
              <w:t>þessara óháðu skoðunarmanna eða endurskoðenda sé afkomuspáin eða áætluð afkoma unnin á réttan hátt á þeim</w:t>
            </w:r>
          </w:p>
          <w:p w:rsidR="003665B6" w:rsidRPr="001C333F" w:rsidRDefault="003665B6" w:rsidP="0032318D">
            <w:pPr>
              <w:autoSpaceDE w:val="0"/>
              <w:autoSpaceDN w:val="0"/>
              <w:adjustRightInd w:val="0"/>
              <w:rPr>
                <w:sz w:val="22"/>
                <w:szCs w:val="22"/>
                <w:lang w:val="is-IS"/>
              </w:rPr>
            </w:pPr>
            <w:r w:rsidRPr="001C333F">
              <w:rPr>
                <w:sz w:val="22"/>
                <w:szCs w:val="22"/>
                <w:lang w:val="is-IS" w:eastAsia="is-IS"/>
              </w:rPr>
              <w:t>grundvelli sem tilgreindur er og að þær aðferðir sem eru notaðar við gerð afkomuspár eða áætlaðrar afkomu, séu í</w:t>
            </w:r>
            <w:r w:rsidR="0032318D" w:rsidRPr="001C333F">
              <w:rPr>
                <w:sz w:val="22"/>
                <w:szCs w:val="22"/>
                <w:lang w:val="is-IS" w:eastAsia="is-IS"/>
              </w:rPr>
              <w:t xml:space="preserve"> </w:t>
            </w:r>
            <w:r w:rsidRPr="001C333F">
              <w:rPr>
                <w:sz w:val="22"/>
                <w:szCs w:val="22"/>
                <w:lang w:val="is-IS" w:eastAsia="is-IS"/>
              </w:rPr>
              <w:t>samræmi við reikningsskilastefnu útgefanda.</w:t>
            </w:r>
          </w:p>
        </w:tc>
      </w:tr>
      <w:tr w:rsidR="003665B6" w:rsidRPr="001C333F" w:rsidTr="001C333F">
        <w:trPr>
          <w:trHeight w:val="362"/>
        </w:trPr>
        <w:tc>
          <w:tcPr>
            <w:tcW w:w="1101" w:type="dxa"/>
          </w:tcPr>
          <w:p w:rsidR="003665B6" w:rsidRPr="001C333F" w:rsidRDefault="003665B6" w:rsidP="00A12814">
            <w:pPr>
              <w:rPr>
                <w:sz w:val="22"/>
                <w:szCs w:val="22"/>
                <w:lang w:val="is-IS"/>
              </w:rPr>
            </w:pPr>
          </w:p>
        </w:tc>
        <w:tc>
          <w:tcPr>
            <w:tcW w:w="850" w:type="dxa"/>
          </w:tcPr>
          <w:p w:rsidR="003665B6" w:rsidRPr="001C333F" w:rsidRDefault="003665B6" w:rsidP="0032318D">
            <w:pPr>
              <w:rPr>
                <w:b/>
                <w:sz w:val="22"/>
                <w:szCs w:val="22"/>
                <w:lang w:val="is-IS"/>
              </w:rPr>
            </w:pPr>
            <w:r w:rsidRPr="001C333F">
              <w:rPr>
                <w:b/>
                <w:sz w:val="22"/>
                <w:szCs w:val="22"/>
                <w:lang w:val="is-IS"/>
              </w:rPr>
              <w:t>9.</w:t>
            </w:r>
            <w:r w:rsidR="0032318D" w:rsidRPr="001C333F">
              <w:rPr>
                <w:b/>
                <w:sz w:val="22"/>
                <w:szCs w:val="22"/>
                <w:lang w:val="is-IS"/>
              </w:rPr>
              <w:t>3</w:t>
            </w:r>
            <w:r w:rsidRPr="001C333F">
              <w:rPr>
                <w:b/>
                <w:sz w:val="22"/>
                <w:szCs w:val="22"/>
                <w:lang w:val="is-IS"/>
              </w:rPr>
              <w:t>.</w:t>
            </w:r>
          </w:p>
        </w:tc>
        <w:tc>
          <w:tcPr>
            <w:tcW w:w="7697" w:type="dxa"/>
            <w:vAlign w:val="center"/>
          </w:tcPr>
          <w:p w:rsidR="003665B6" w:rsidRPr="001C333F" w:rsidRDefault="0032318D" w:rsidP="0032318D">
            <w:pPr>
              <w:rPr>
                <w:sz w:val="22"/>
                <w:szCs w:val="22"/>
                <w:lang w:val="is-IS"/>
              </w:rPr>
            </w:pPr>
            <w:r w:rsidRPr="001C333F">
              <w:rPr>
                <w:sz w:val="22"/>
                <w:szCs w:val="22"/>
                <w:lang w:val="is-IS" w:eastAsia="is-IS"/>
              </w:rPr>
              <w:t>Vinna skal afkomuspá eða áætlaða afkomu á grunni sem er sambærilegur þeim sem er notaður fyrir sögulegar fjárhagsupplýsingar.</w:t>
            </w:r>
          </w:p>
        </w:tc>
      </w:tr>
      <w:tr w:rsidR="0032318D" w:rsidRPr="001C333F" w:rsidTr="001C333F">
        <w:tc>
          <w:tcPr>
            <w:tcW w:w="1101" w:type="dxa"/>
          </w:tcPr>
          <w:p w:rsidR="0032318D" w:rsidRPr="001C333F" w:rsidRDefault="0032318D" w:rsidP="00A12814">
            <w:pPr>
              <w:rPr>
                <w:sz w:val="22"/>
                <w:szCs w:val="22"/>
                <w:lang w:val="is-IS"/>
              </w:rPr>
            </w:pPr>
          </w:p>
        </w:tc>
        <w:tc>
          <w:tcPr>
            <w:tcW w:w="850" w:type="dxa"/>
          </w:tcPr>
          <w:p w:rsidR="0032318D" w:rsidRPr="001C333F" w:rsidRDefault="0032318D" w:rsidP="00A12814">
            <w:pPr>
              <w:rPr>
                <w:b/>
                <w:sz w:val="22"/>
                <w:szCs w:val="22"/>
                <w:lang w:val="is-IS"/>
              </w:rPr>
            </w:pPr>
            <w:r w:rsidRPr="001C333F">
              <w:rPr>
                <w:b/>
                <w:sz w:val="22"/>
                <w:szCs w:val="22"/>
                <w:lang w:val="is-IS"/>
              </w:rPr>
              <w:t>10.</w:t>
            </w:r>
          </w:p>
        </w:tc>
        <w:tc>
          <w:tcPr>
            <w:tcW w:w="7697" w:type="dxa"/>
            <w:vAlign w:val="center"/>
          </w:tcPr>
          <w:p w:rsidR="0032318D" w:rsidRPr="001C333F" w:rsidRDefault="0032318D" w:rsidP="009C0ABD">
            <w:pPr>
              <w:autoSpaceDE w:val="0"/>
              <w:autoSpaceDN w:val="0"/>
              <w:adjustRightInd w:val="0"/>
              <w:rPr>
                <w:sz w:val="22"/>
                <w:szCs w:val="22"/>
                <w:lang w:val="is-IS" w:eastAsia="is-IS"/>
              </w:rPr>
            </w:pPr>
            <w:r w:rsidRPr="001C333F">
              <w:rPr>
                <w:b/>
                <w:bCs/>
                <w:sz w:val="22"/>
                <w:szCs w:val="22"/>
                <w:lang w:val="is-IS" w:eastAsia="is-IS"/>
              </w:rPr>
              <w:t>STJÓRN, FRAMKVÆMDASTJÓRN OG EFTIRLITSSTJÓRN</w:t>
            </w:r>
          </w:p>
        </w:tc>
      </w:tr>
      <w:tr w:rsidR="0032318D" w:rsidRPr="001C333F" w:rsidTr="001C333F">
        <w:tc>
          <w:tcPr>
            <w:tcW w:w="1101" w:type="dxa"/>
          </w:tcPr>
          <w:p w:rsidR="0032318D" w:rsidRPr="001C333F" w:rsidRDefault="0032318D" w:rsidP="00A12814">
            <w:pPr>
              <w:rPr>
                <w:sz w:val="22"/>
                <w:szCs w:val="22"/>
                <w:lang w:val="is-IS"/>
              </w:rPr>
            </w:pPr>
          </w:p>
        </w:tc>
        <w:tc>
          <w:tcPr>
            <w:tcW w:w="850" w:type="dxa"/>
          </w:tcPr>
          <w:p w:rsidR="0032318D" w:rsidRPr="001C333F" w:rsidRDefault="0032318D" w:rsidP="00A12814">
            <w:pPr>
              <w:rPr>
                <w:b/>
                <w:sz w:val="22"/>
                <w:szCs w:val="22"/>
                <w:lang w:val="is-IS"/>
              </w:rPr>
            </w:pPr>
            <w:r w:rsidRPr="001C333F">
              <w:rPr>
                <w:b/>
                <w:sz w:val="22"/>
                <w:szCs w:val="22"/>
                <w:lang w:val="is-IS"/>
              </w:rPr>
              <w:t>10.1.</w:t>
            </w:r>
          </w:p>
        </w:tc>
        <w:tc>
          <w:tcPr>
            <w:tcW w:w="7697" w:type="dxa"/>
            <w:vAlign w:val="center"/>
          </w:tcPr>
          <w:p w:rsidR="0032318D" w:rsidRDefault="0032318D" w:rsidP="0032318D">
            <w:pPr>
              <w:rPr>
                <w:sz w:val="22"/>
                <w:szCs w:val="22"/>
                <w:lang w:val="is-IS" w:eastAsia="is-IS"/>
              </w:rPr>
            </w:pPr>
            <w:r w:rsidRPr="001C333F">
              <w:rPr>
                <w:sz w:val="22"/>
                <w:szCs w:val="22"/>
                <w:lang w:val="is-IS" w:eastAsia="is-IS"/>
              </w:rPr>
              <w:t>Nöfn, heimilisföng vinnustaða og hlutverk eftirfarandi einstaklinga hjá útgefanda og upplýsingar um helstu störf þeirra utan útgefanda ef þau skipta máli gagnvart útgefandanum:</w:t>
            </w:r>
          </w:p>
          <w:p w:rsidR="00380850" w:rsidRPr="001C333F" w:rsidRDefault="00380850" w:rsidP="0032318D">
            <w:pPr>
              <w:rPr>
                <w:sz w:val="22"/>
                <w:szCs w:val="22"/>
                <w:lang w:val="is-IS" w:eastAsia="is-IS"/>
              </w:rPr>
            </w:pPr>
          </w:p>
          <w:p w:rsidR="0032318D" w:rsidRDefault="0032318D" w:rsidP="0032318D">
            <w:pPr>
              <w:pStyle w:val="ListParagraph"/>
              <w:numPr>
                <w:ilvl w:val="0"/>
                <w:numId w:val="1"/>
              </w:numPr>
              <w:rPr>
                <w:sz w:val="22"/>
                <w:szCs w:val="22"/>
                <w:lang w:val="is-IS" w:eastAsia="is-IS"/>
              </w:rPr>
            </w:pPr>
            <w:r w:rsidRPr="001C333F">
              <w:rPr>
                <w:sz w:val="22"/>
                <w:szCs w:val="22"/>
                <w:lang w:val="is-IS" w:eastAsia="is-IS"/>
              </w:rPr>
              <w:t>Aðila að stjórn, framkvæmdastjórn eða eftirlitsstjórn,</w:t>
            </w:r>
          </w:p>
          <w:p w:rsidR="00380850" w:rsidRDefault="00380850" w:rsidP="00380850">
            <w:pPr>
              <w:pStyle w:val="ListParagraph"/>
              <w:rPr>
                <w:sz w:val="22"/>
                <w:szCs w:val="22"/>
                <w:lang w:val="is-IS" w:eastAsia="is-IS"/>
              </w:rPr>
            </w:pPr>
          </w:p>
          <w:p w:rsidR="0032318D" w:rsidRPr="001C333F" w:rsidRDefault="0032318D" w:rsidP="0032318D">
            <w:pPr>
              <w:pStyle w:val="ListParagraph"/>
              <w:numPr>
                <w:ilvl w:val="0"/>
                <w:numId w:val="1"/>
              </w:numPr>
              <w:rPr>
                <w:sz w:val="22"/>
                <w:szCs w:val="22"/>
                <w:lang w:val="is-IS" w:eastAsia="is-IS"/>
              </w:rPr>
            </w:pPr>
            <w:r w:rsidRPr="001C333F">
              <w:rPr>
                <w:sz w:val="22"/>
                <w:szCs w:val="22"/>
                <w:lang w:val="is-IS" w:eastAsia="is-IS"/>
              </w:rPr>
              <w:t>sameigenda með ótakmarkaða ábyrgð ef um er að ræða samlagsfélag með hlutafé.</w:t>
            </w:r>
          </w:p>
        </w:tc>
      </w:tr>
      <w:tr w:rsidR="0032318D" w:rsidRPr="001C333F" w:rsidTr="001C333F">
        <w:tc>
          <w:tcPr>
            <w:tcW w:w="1101" w:type="dxa"/>
          </w:tcPr>
          <w:p w:rsidR="0032318D" w:rsidRPr="001C333F" w:rsidRDefault="0032318D" w:rsidP="00A12814">
            <w:pPr>
              <w:rPr>
                <w:sz w:val="22"/>
                <w:szCs w:val="22"/>
                <w:lang w:val="is-IS"/>
              </w:rPr>
            </w:pPr>
          </w:p>
        </w:tc>
        <w:tc>
          <w:tcPr>
            <w:tcW w:w="850" w:type="dxa"/>
          </w:tcPr>
          <w:p w:rsidR="0032318D" w:rsidRPr="001C333F" w:rsidRDefault="0032318D" w:rsidP="00A12814">
            <w:pPr>
              <w:rPr>
                <w:b/>
                <w:sz w:val="22"/>
                <w:szCs w:val="22"/>
                <w:lang w:val="is-IS"/>
              </w:rPr>
            </w:pPr>
            <w:r w:rsidRPr="001C333F">
              <w:rPr>
                <w:b/>
                <w:sz w:val="22"/>
                <w:szCs w:val="22"/>
                <w:lang w:val="is-IS"/>
              </w:rPr>
              <w:t>10.2.</w:t>
            </w:r>
          </w:p>
        </w:tc>
        <w:tc>
          <w:tcPr>
            <w:tcW w:w="7697" w:type="dxa"/>
            <w:vAlign w:val="center"/>
          </w:tcPr>
          <w:p w:rsidR="00E640FD" w:rsidRPr="001C333F" w:rsidRDefault="00E640FD" w:rsidP="00E640FD">
            <w:pPr>
              <w:autoSpaceDE w:val="0"/>
              <w:autoSpaceDN w:val="0"/>
              <w:adjustRightInd w:val="0"/>
              <w:rPr>
                <w:i/>
                <w:sz w:val="22"/>
                <w:szCs w:val="22"/>
                <w:lang w:val="is-IS" w:eastAsia="is-IS"/>
              </w:rPr>
            </w:pPr>
            <w:r w:rsidRPr="001C333F">
              <w:rPr>
                <w:i/>
                <w:sz w:val="22"/>
                <w:szCs w:val="22"/>
                <w:lang w:val="is-IS" w:eastAsia="is-IS"/>
              </w:rPr>
              <w:t>Hagsmunaárekstrar stjórnar, framkvæmdastjórnar og eftirlitsstjórnar</w:t>
            </w:r>
          </w:p>
          <w:p w:rsidR="00E640FD" w:rsidRPr="001C333F" w:rsidRDefault="00E640FD" w:rsidP="00E640FD">
            <w:pPr>
              <w:autoSpaceDE w:val="0"/>
              <w:autoSpaceDN w:val="0"/>
              <w:adjustRightInd w:val="0"/>
              <w:rPr>
                <w:sz w:val="22"/>
                <w:szCs w:val="22"/>
                <w:lang w:val="is-IS" w:eastAsia="is-IS"/>
              </w:rPr>
            </w:pPr>
          </w:p>
          <w:p w:rsidR="0032318D" w:rsidRPr="001C333F" w:rsidRDefault="00E640FD" w:rsidP="00E640FD">
            <w:pPr>
              <w:autoSpaceDE w:val="0"/>
              <w:autoSpaceDN w:val="0"/>
              <w:adjustRightInd w:val="0"/>
              <w:rPr>
                <w:sz w:val="22"/>
                <w:szCs w:val="22"/>
                <w:lang w:val="is-IS" w:eastAsia="is-IS"/>
              </w:rPr>
            </w:pPr>
            <w:r w:rsidRPr="001C333F">
              <w:rPr>
                <w:sz w:val="22"/>
                <w:szCs w:val="22"/>
                <w:lang w:val="is-IS" w:eastAsia="is-IS"/>
              </w:rPr>
              <w:t>Greina skal skilmerkilega frá hugsanlegum hagsmunaárekstrum milli skyldu</w:t>
            </w:r>
            <w:r w:rsidRPr="001C333F">
              <w:rPr>
                <w:sz w:val="22"/>
                <w:szCs w:val="22"/>
                <w:lang w:val="is-IS" w:eastAsia="is-IS"/>
              </w:rPr>
              <w:softHyphen/>
              <w:t>starfa fyrir útgefanda hjá þeim einstaklingum sem vísað er til í lið 10.1 og persónulegra hagsmuna þeirra og/eða annarra skyldustarfa þeirra Ef ekki er um að ræða neina slíka árekstra skal gefa yfirlýsingu þess efnis.</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11.</w:t>
            </w:r>
          </w:p>
        </w:tc>
        <w:tc>
          <w:tcPr>
            <w:tcW w:w="7697" w:type="dxa"/>
            <w:vAlign w:val="center"/>
          </w:tcPr>
          <w:p w:rsidR="00E640FD" w:rsidRPr="001C333F" w:rsidRDefault="00E640FD" w:rsidP="009C0ABD">
            <w:pPr>
              <w:autoSpaceDE w:val="0"/>
              <w:autoSpaceDN w:val="0"/>
              <w:adjustRightInd w:val="0"/>
              <w:rPr>
                <w:sz w:val="22"/>
                <w:szCs w:val="22"/>
                <w:lang w:val="is-IS" w:eastAsia="is-IS"/>
              </w:rPr>
            </w:pPr>
            <w:r w:rsidRPr="001C333F">
              <w:rPr>
                <w:b/>
                <w:bCs/>
                <w:sz w:val="22"/>
                <w:szCs w:val="22"/>
                <w:lang w:val="is-IS" w:eastAsia="is-IS"/>
              </w:rPr>
              <w:t>STJÓRNARHÆTTIR</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11.1</w:t>
            </w:r>
          </w:p>
        </w:tc>
        <w:tc>
          <w:tcPr>
            <w:tcW w:w="7697" w:type="dxa"/>
            <w:vAlign w:val="center"/>
          </w:tcPr>
          <w:p w:rsidR="00E640FD" w:rsidRPr="001C333F" w:rsidRDefault="00E640FD" w:rsidP="00E640FD">
            <w:pPr>
              <w:autoSpaceDE w:val="0"/>
              <w:autoSpaceDN w:val="0"/>
              <w:adjustRightInd w:val="0"/>
              <w:rPr>
                <w:sz w:val="22"/>
                <w:szCs w:val="22"/>
                <w:lang w:val="is-IS" w:eastAsia="is-IS"/>
              </w:rPr>
            </w:pPr>
            <w:r w:rsidRPr="001C333F">
              <w:rPr>
                <w:sz w:val="22"/>
                <w:szCs w:val="22"/>
                <w:lang w:val="is-IS" w:eastAsia="is-IS"/>
              </w:rPr>
              <w:t>Ítarlegar upplýsingar um endurskoðunarnefnd útgefanda, þ.m.t. nöfn nefndar</w:t>
            </w:r>
            <w:r w:rsidRPr="001C333F">
              <w:rPr>
                <w:sz w:val="22"/>
                <w:szCs w:val="22"/>
                <w:lang w:val="is-IS" w:eastAsia="is-IS"/>
              </w:rPr>
              <w:softHyphen/>
              <w:t>manna og samantekt um verksvið nefndarinnar.</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11.2</w:t>
            </w:r>
          </w:p>
        </w:tc>
        <w:tc>
          <w:tcPr>
            <w:tcW w:w="7697" w:type="dxa"/>
            <w:vAlign w:val="center"/>
          </w:tcPr>
          <w:p w:rsidR="00E640FD" w:rsidRPr="001C333F" w:rsidRDefault="00E640FD" w:rsidP="00E640FD">
            <w:pPr>
              <w:autoSpaceDE w:val="0"/>
              <w:autoSpaceDN w:val="0"/>
              <w:adjustRightInd w:val="0"/>
              <w:rPr>
                <w:b/>
                <w:bCs/>
                <w:sz w:val="22"/>
                <w:szCs w:val="22"/>
                <w:lang w:val="is-IS" w:eastAsia="is-IS"/>
              </w:rPr>
            </w:pPr>
            <w:r w:rsidRPr="001C333F">
              <w:rPr>
                <w:sz w:val="22"/>
                <w:szCs w:val="22"/>
                <w:lang w:val="is-IS" w:eastAsia="is-IS"/>
              </w:rPr>
              <w:t xml:space="preserve">Yfirlýsing þess efnis hvort útgefandi uppfylli reglur um stjórnarhætti fyrirtækja í því </w:t>
            </w:r>
            <w:r w:rsidRPr="001C333F">
              <w:rPr>
                <w:sz w:val="22"/>
                <w:szCs w:val="22"/>
                <w:lang w:val="is-IS" w:eastAsia="is-IS"/>
              </w:rPr>
              <w:lastRenderedPageBreak/>
              <w:t>landi þar sem útgefandi er skráður eða ekki. Ef útgefandi uppfyllir ekki þessar reglur verður að fylgja yfirlýsing þess efnis ásamt skýringu á því hvers vegna hann uppfylli ekki reglurnar.</w:t>
            </w:r>
          </w:p>
        </w:tc>
      </w:tr>
      <w:tr w:rsidR="00E640FD" w:rsidRPr="001C333F" w:rsidTr="001C333F">
        <w:trPr>
          <w:trHeight w:val="28"/>
        </w:trPr>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12.</w:t>
            </w:r>
          </w:p>
        </w:tc>
        <w:tc>
          <w:tcPr>
            <w:tcW w:w="7697" w:type="dxa"/>
            <w:vAlign w:val="center"/>
          </w:tcPr>
          <w:p w:rsidR="00E640FD" w:rsidRPr="001C333F" w:rsidRDefault="003175D5" w:rsidP="009C0ABD">
            <w:pPr>
              <w:autoSpaceDE w:val="0"/>
              <w:autoSpaceDN w:val="0"/>
              <w:adjustRightInd w:val="0"/>
              <w:rPr>
                <w:sz w:val="22"/>
                <w:szCs w:val="22"/>
                <w:lang w:val="is-IS" w:eastAsia="is-IS"/>
              </w:rPr>
            </w:pPr>
            <w:r w:rsidRPr="001C333F">
              <w:rPr>
                <w:b/>
                <w:bCs/>
                <w:sz w:val="22"/>
                <w:szCs w:val="22"/>
                <w:lang w:val="is-IS" w:eastAsia="is-IS"/>
              </w:rPr>
              <w:t>STÆRSTU HLUTHAFAR</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12.1.</w:t>
            </w:r>
          </w:p>
        </w:tc>
        <w:tc>
          <w:tcPr>
            <w:tcW w:w="7697" w:type="dxa"/>
            <w:vAlign w:val="center"/>
          </w:tcPr>
          <w:p w:rsidR="00E640FD" w:rsidRPr="001C333F" w:rsidRDefault="003175D5" w:rsidP="003175D5">
            <w:pPr>
              <w:rPr>
                <w:sz w:val="22"/>
                <w:szCs w:val="22"/>
                <w:lang w:val="is-IS"/>
              </w:rPr>
            </w:pPr>
            <w:r w:rsidRPr="001C333F">
              <w:rPr>
                <w:sz w:val="22"/>
                <w:szCs w:val="22"/>
                <w:lang w:val="is-IS" w:eastAsia="is-IS"/>
              </w:rPr>
              <w:t>Að því marki sem útgefanda er kunnugt um skal greina frá því hvort útgefandi sé beint eða óbeint í eigu eða undir yfirráðum einhvers aðila og hver sá aðili er, og lýsa skal eðli slíkra yfirráða og þeim ráðstöfunum sem gerðar eru til að tryggja að slík yfirráð séu ekki misnotuð.</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12.2.</w:t>
            </w:r>
          </w:p>
        </w:tc>
        <w:tc>
          <w:tcPr>
            <w:tcW w:w="7697" w:type="dxa"/>
            <w:vAlign w:val="center"/>
          </w:tcPr>
          <w:p w:rsidR="00E640FD" w:rsidRPr="001C333F" w:rsidRDefault="003175D5" w:rsidP="003175D5">
            <w:pPr>
              <w:autoSpaceDE w:val="0"/>
              <w:autoSpaceDN w:val="0"/>
              <w:adjustRightInd w:val="0"/>
              <w:rPr>
                <w:sz w:val="22"/>
                <w:szCs w:val="22"/>
                <w:lang w:val="is-IS" w:eastAsia="is-IS"/>
              </w:rPr>
            </w:pPr>
            <w:r w:rsidRPr="001C333F">
              <w:rPr>
                <w:sz w:val="22"/>
                <w:szCs w:val="22"/>
                <w:lang w:val="is-IS" w:eastAsia="is-IS"/>
              </w:rPr>
              <w:t>Lýsa skal hvers konar fyrirkomulagi, sem útgefanda er kunnugt um, sem getur seinna meir haft í för með sér breytingar á yfirráðum yfir útgefanda.</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13.</w:t>
            </w:r>
          </w:p>
        </w:tc>
        <w:tc>
          <w:tcPr>
            <w:tcW w:w="7697" w:type="dxa"/>
            <w:vAlign w:val="center"/>
          </w:tcPr>
          <w:p w:rsidR="00E640FD" w:rsidRPr="001C333F" w:rsidRDefault="003175D5" w:rsidP="003175D5">
            <w:pPr>
              <w:autoSpaceDE w:val="0"/>
              <w:autoSpaceDN w:val="0"/>
              <w:adjustRightInd w:val="0"/>
              <w:rPr>
                <w:b/>
                <w:bCs/>
                <w:sz w:val="22"/>
                <w:szCs w:val="22"/>
                <w:lang w:val="is-IS" w:eastAsia="is-IS"/>
              </w:rPr>
            </w:pPr>
            <w:r w:rsidRPr="001C333F">
              <w:rPr>
                <w:b/>
                <w:bCs/>
                <w:sz w:val="22"/>
                <w:szCs w:val="22"/>
                <w:lang w:val="is-IS" w:eastAsia="is-IS"/>
              </w:rPr>
              <w:t>FJÁRHAGSUPPLÝSINGAR AÐ ÞVÍ ER VARÐAR EIGNIR OG SKULDIR ÚTGEFANDA, FJÁRHAGSSTÖÐU HANS OG HAGNAÐ OG TAP</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13.1.</w:t>
            </w:r>
          </w:p>
        </w:tc>
        <w:tc>
          <w:tcPr>
            <w:tcW w:w="7697" w:type="dxa"/>
            <w:vAlign w:val="center"/>
          </w:tcPr>
          <w:p w:rsidR="003175D5" w:rsidRPr="001C333F" w:rsidRDefault="003175D5" w:rsidP="003175D5">
            <w:pPr>
              <w:autoSpaceDE w:val="0"/>
              <w:autoSpaceDN w:val="0"/>
              <w:adjustRightInd w:val="0"/>
              <w:rPr>
                <w:i/>
                <w:sz w:val="22"/>
                <w:szCs w:val="22"/>
                <w:lang w:val="is-IS" w:eastAsia="is-IS"/>
              </w:rPr>
            </w:pPr>
            <w:r w:rsidRPr="001C333F">
              <w:rPr>
                <w:i/>
                <w:sz w:val="22"/>
                <w:szCs w:val="22"/>
                <w:lang w:val="is-IS" w:eastAsia="is-IS"/>
              </w:rPr>
              <w:t>Sögulegar fjárhagsupplýsingar</w:t>
            </w:r>
          </w:p>
          <w:p w:rsidR="003175D5" w:rsidRPr="001C333F" w:rsidRDefault="003175D5" w:rsidP="003175D5">
            <w:pPr>
              <w:autoSpaceDE w:val="0"/>
              <w:autoSpaceDN w:val="0"/>
              <w:adjustRightInd w:val="0"/>
              <w:rPr>
                <w:sz w:val="22"/>
                <w:szCs w:val="22"/>
                <w:lang w:val="is-IS" w:eastAsia="is-IS"/>
              </w:rPr>
            </w:pPr>
          </w:p>
          <w:p w:rsidR="003175D5" w:rsidRPr="001C333F" w:rsidRDefault="003175D5" w:rsidP="003175D5">
            <w:pPr>
              <w:autoSpaceDE w:val="0"/>
              <w:autoSpaceDN w:val="0"/>
              <w:adjustRightInd w:val="0"/>
              <w:rPr>
                <w:sz w:val="22"/>
                <w:szCs w:val="22"/>
                <w:lang w:val="is-IS" w:eastAsia="is-IS"/>
              </w:rPr>
            </w:pPr>
            <w:r w:rsidRPr="001C333F">
              <w:rPr>
                <w:sz w:val="22"/>
                <w:szCs w:val="22"/>
                <w:lang w:val="is-IS" w:eastAsia="is-IS"/>
              </w:rPr>
              <w:t>Endurskoðaðar, sögulegar fjárhagsupplýsingar sem taka til tveggja síðustu fjárhagsára (eða eins lengi og útgefandinn hefur starfað ef tímabilið er styttra en tvö ár) ásamt skýrslu endurskoðanda fyrir hvert ár. Semja skal slíkar fjárhags</w:t>
            </w:r>
            <w:r w:rsidRPr="001C333F">
              <w:rPr>
                <w:sz w:val="22"/>
                <w:szCs w:val="22"/>
                <w:lang w:val="is-IS" w:eastAsia="is-IS"/>
              </w:rPr>
              <w:softHyphen/>
              <w:t>upplýsingar í samræmi við reglugerð (EB) nr. 1606/2002, eða ef það á ekki við, í samræmi við innlenda reikningsskilastaðla tiltekins aðildarríkis fyrir útgefendur innan Bandalagsins. Útgefendur frá þriðja landi skulu semja slíkar fjárhags</w:t>
            </w:r>
            <w:r w:rsidRPr="001C333F">
              <w:rPr>
                <w:sz w:val="22"/>
                <w:szCs w:val="22"/>
                <w:lang w:val="is-IS" w:eastAsia="is-IS"/>
              </w:rPr>
              <w:softHyphen/>
              <w:t>upplýsingar í samræmi við alþjóðlega reikningsskilastaðla sem voru samþykktir samkvæmt málsmeðferðinni í 3. gr. reglugerðar (EB) nr. 1606/2002 eða samkvæmt innlendum reikningsskilastöðlum í þriðja landi sem eru sambærilegir þessum stöðlum. Ef slíkar fjárhagsupplýsingar eru ekki sambæri</w:t>
            </w:r>
            <w:r w:rsidRPr="001C333F">
              <w:rPr>
                <w:sz w:val="22"/>
                <w:szCs w:val="22"/>
                <w:lang w:val="is-IS" w:eastAsia="is-IS"/>
              </w:rPr>
              <w:softHyphen/>
              <w:t xml:space="preserve">legar þessum stöðlum skal setja þær fram í formi endurgerðra reikningsskila. </w:t>
            </w:r>
          </w:p>
          <w:p w:rsidR="003175D5" w:rsidRPr="001C333F" w:rsidRDefault="003175D5" w:rsidP="003175D5">
            <w:pPr>
              <w:autoSpaceDE w:val="0"/>
              <w:autoSpaceDN w:val="0"/>
              <w:adjustRightInd w:val="0"/>
              <w:rPr>
                <w:sz w:val="22"/>
                <w:szCs w:val="22"/>
                <w:lang w:val="is-IS" w:eastAsia="is-IS"/>
              </w:rPr>
            </w:pPr>
          </w:p>
          <w:p w:rsidR="003175D5" w:rsidRPr="001C333F" w:rsidRDefault="003175D5" w:rsidP="003175D5">
            <w:pPr>
              <w:autoSpaceDE w:val="0"/>
              <w:autoSpaceDN w:val="0"/>
              <w:adjustRightInd w:val="0"/>
              <w:rPr>
                <w:sz w:val="22"/>
                <w:szCs w:val="22"/>
                <w:lang w:val="is-IS" w:eastAsia="is-IS"/>
              </w:rPr>
            </w:pPr>
            <w:r w:rsidRPr="001C333F">
              <w:rPr>
                <w:sz w:val="22"/>
                <w:szCs w:val="22"/>
                <w:lang w:val="is-IS" w:eastAsia="is-IS"/>
              </w:rPr>
              <w:t>Leggja skal fram og semja fjárhagsupplýsingar næstliðins árs á formi sem er í samræmi við það form sem notað verður við næstu árlegu reikningsskil útgefandans, með hliðsjón af reikningsskilastöðlum og reglum og löggjöf sem gildir um slík árleg reikningsskil.</w:t>
            </w:r>
          </w:p>
          <w:p w:rsidR="003175D5" w:rsidRPr="001C333F" w:rsidRDefault="003175D5" w:rsidP="003175D5">
            <w:pPr>
              <w:autoSpaceDE w:val="0"/>
              <w:autoSpaceDN w:val="0"/>
              <w:adjustRightInd w:val="0"/>
              <w:rPr>
                <w:sz w:val="22"/>
                <w:szCs w:val="22"/>
                <w:lang w:val="is-IS" w:eastAsia="is-IS"/>
              </w:rPr>
            </w:pPr>
          </w:p>
          <w:p w:rsidR="003175D5" w:rsidRPr="001C333F" w:rsidRDefault="003175D5" w:rsidP="003175D5">
            <w:pPr>
              <w:autoSpaceDE w:val="0"/>
              <w:autoSpaceDN w:val="0"/>
              <w:adjustRightInd w:val="0"/>
              <w:rPr>
                <w:sz w:val="22"/>
                <w:szCs w:val="22"/>
                <w:lang w:val="is-IS" w:eastAsia="is-IS"/>
              </w:rPr>
            </w:pPr>
            <w:r w:rsidRPr="001C333F">
              <w:rPr>
                <w:sz w:val="22"/>
                <w:szCs w:val="22"/>
                <w:lang w:val="is-IS" w:eastAsia="is-IS"/>
              </w:rPr>
              <w:t>Ef útgefandinn hefur verið virkur í núverandi atvinnustarfsemi sinni í innan við eitt ár skal semja endurskoðuðu, sögulegu fjárhagsupplýsingarnar sem taka til þessa tímabils í samræmi við staðla sem gilda um árleg reikningsskil samkvæmt reglugerð (EB) nr. 1606/2002 eða, ef þeir gilda ekki um aðildarríki, innlenda reikningsskilastaðla þar sem útgefandi er útgefandi innan Bandalagsins. Útgefendur frá þriðja landi skulu semja sögulegar fjárhagsupplýsingar í samræmi við alþjóðlega reikningsskilastaðla sem voru samþykktir samkvæmt málsmeð</w:t>
            </w:r>
            <w:r w:rsidRPr="001C333F">
              <w:rPr>
                <w:sz w:val="22"/>
                <w:szCs w:val="22"/>
                <w:lang w:val="is-IS" w:eastAsia="is-IS"/>
              </w:rPr>
              <w:softHyphen/>
              <w:t xml:space="preserve">ferðinni í 3. gr. reglugerðar (EB) nr. 1606/2002 eða samkvæmt innlendum reikningsskilastöðlum í þriðja landi sem eru sambærilegir þessum stöðlum. Þessar sögulegu fjárhagsupplýsingar skulu vera endurskoðaðar. </w:t>
            </w:r>
          </w:p>
          <w:p w:rsidR="003175D5" w:rsidRPr="001C333F" w:rsidRDefault="003175D5" w:rsidP="003175D5">
            <w:pPr>
              <w:autoSpaceDE w:val="0"/>
              <w:autoSpaceDN w:val="0"/>
              <w:adjustRightInd w:val="0"/>
              <w:rPr>
                <w:sz w:val="22"/>
                <w:szCs w:val="22"/>
                <w:lang w:val="is-IS" w:eastAsia="is-IS"/>
              </w:rPr>
            </w:pPr>
          </w:p>
          <w:p w:rsidR="003175D5" w:rsidRDefault="003175D5" w:rsidP="003175D5">
            <w:pPr>
              <w:autoSpaceDE w:val="0"/>
              <w:autoSpaceDN w:val="0"/>
              <w:adjustRightInd w:val="0"/>
              <w:rPr>
                <w:sz w:val="22"/>
                <w:szCs w:val="22"/>
                <w:lang w:val="is-IS" w:eastAsia="is-IS"/>
              </w:rPr>
            </w:pPr>
            <w:r w:rsidRPr="001C333F">
              <w:rPr>
                <w:sz w:val="22"/>
                <w:szCs w:val="22"/>
                <w:lang w:val="is-IS" w:eastAsia="is-IS"/>
              </w:rPr>
              <w:t>Ef endurskoðuðu fjárhagsupplýsingarnar eru samdar í samræmi við innlenda reikningsskilastaðla skulu fjárhagsupplýsingarnar, sem krafist er samkvæmt þessum lið, a.m.k. fela í sér:</w:t>
            </w:r>
          </w:p>
          <w:p w:rsidR="00380850" w:rsidRPr="001C333F" w:rsidRDefault="00380850" w:rsidP="003175D5">
            <w:pPr>
              <w:autoSpaceDE w:val="0"/>
              <w:autoSpaceDN w:val="0"/>
              <w:adjustRightInd w:val="0"/>
              <w:rPr>
                <w:sz w:val="22"/>
                <w:szCs w:val="22"/>
                <w:lang w:val="is-IS" w:eastAsia="is-IS"/>
              </w:rPr>
            </w:pPr>
          </w:p>
          <w:p w:rsidR="003175D5" w:rsidRDefault="003175D5" w:rsidP="003175D5">
            <w:pPr>
              <w:pStyle w:val="ListParagraph"/>
              <w:numPr>
                <w:ilvl w:val="0"/>
                <w:numId w:val="3"/>
              </w:numPr>
              <w:autoSpaceDE w:val="0"/>
              <w:autoSpaceDN w:val="0"/>
              <w:adjustRightInd w:val="0"/>
              <w:rPr>
                <w:sz w:val="22"/>
                <w:szCs w:val="22"/>
                <w:lang w:val="is-IS" w:eastAsia="is-IS"/>
              </w:rPr>
            </w:pPr>
            <w:r w:rsidRPr="001C333F">
              <w:rPr>
                <w:sz w:val="22"/>
                <w:szCs w:val="22"/>
                <w:lang w:val="is-IS" w:eastAsia="is-IS"/>
              </w:rPr>
              <w:t>Efnahagsreikning,</w:t>
            </w:r>
          </w:p>
          <w:p w:rsidR="001C333F" w:rsidRPr="001C333F" w:rsidRDefault="001C333F" w:rsidP="001C333F">
            <w:pPr>
              <w:pStyle w:val="ListParagraph"/>
              <w:autoSpaceDE w:val="0"/>
              <w:autoSpaceDN w:val="0"/>
              <w:adjustRightInd w:val="0"/>
              <w:rPr>
                <w:sz w:val="22"/>
                <w:szCs w:val="22"/>
                <w:lang w:val="is-IS" w:eastAsia="is-IS"/>
              </w:rPr>
            </w:pPr>
          </w:p>
          <w:p w:rsidR="003175D5" w:rsidRDefault="003175D5" w:rsidP="003175D5">
            <w:pPr>
              <w:pStyle w:val="ListParagraph"/>
              <w:numPr>
                <w:ilvl w:val="0"/>
                <w:numId w:val="3"/>
              </w:numPr>
              <w:autoSpaceDE w:val="0"/>
              <w:autoSpaceDN w:val="0"/>
              <w:adjustRightInd w:val="0"/>
              <w:rPr>
                <w:sz w:val="22"/>
                <w:szCs w:val="22"/>
                <w:lang w:val="is-IS" w:eastAsia="is-IS"/>
              </w:rPr>
            </w:pPr>
            <w:r w:rsidRPr="001C333F">
              <w:rPr>
                <w:sz w:val="22"/>
                <w:szCs w:val="22"/>
                <w:lang w:val="is-IS" w:eastAsia="is-IS"/>
              </w:rPr>
              <w:t>rekstrarreikning,</w:t>
            </w:r>
          </w:p>
          <w:p w:rsidR="001C333F" w:rsidRPr="001C333F" w:rsidRDefault="001C333F" w:rsidP="001C333F">
            <w:pPr>
              <w:autoSpaceDE w:val="0"/>
              <w:autoSpaceDN w:val="0"/>
              <w:adjustRightInd w:val="0"/>
              <w:ind w:left="720"/>
              <w:rPr>
                <w:sz w:val="22"/>
                <w:szCs w:val="22"/>
                <w:lang w:val="is-IS" w:eastAsia="is-IS"/>
              </w:rPr>
            </w:pPr>
          </w:p>
          <w:p w:rsidR="003175D5" w:rsidRDefault="003175D5" w:rsidP="003175D5">
            <w:pPr>
              <w:pStyle w:val="ListParagraph"/>
              <w:numPr>
                <w:ilvl w:val="0"/>
                <w:numId w:val="3"/>
              </w:numPr>
              <w:autoSpaceDE w:val="0"/>
              <w:autoSpaceDN w:val="0"/>
              <w:adjustRightInd w:val="0"/>
              <w:rPr>
                <w:sz w:val="22"/>
                <w:szCs w:val="22"/>
                <w:lang w:val="is-IS" w:eastAsia="is-IS"/>
              </w:rPr>
            </w:pPr>
            <w:r w:rsidRPr="001C333F">
              <w:rPr>
                <w:sz w:val="22"/>
                <w:szCs w:val="22"/>
                <w:lang w:val="is-IS" w:eastAsia="is-IS"/>
              </w:rPr>
              <w:lastRenderedPageBreak/>
              <w:t>sjóðstreymisyfirlit, og</w:t>
            </w:r>
          </w:p>
          <w:p w:rsidR="001C333F" w:rsidRPr="001C333F" w:rsidRDefault="001C333F" w:rsidP="001C333F">
            <w:pPr>
              <w:autoSpaceDE w:val="0"/>
              <w:autoSpaceDN w:val="0"/>
              <w:adjustRightInd w:val="0"/>
              <w:ind w:left="720"/>
              <w:rPr>
                <w:sz w:val="22"/>
                <w:szCs w:val="22"/>
                <w:lang w:val="is-IS" w:eastAsia="is-IS"/>
              </w:rPr>
            </w:pPr>
          </w:p>
          <w:p w:rsidR="003175D5" w:rsidRPr="001C333F" w:rsidRDefault="003175D5" w:rsidP="003175D5">
            <w:pPr>
              <w:pStyle w:val="ListParagraph"/>
              <w:numPr>
                <w:ilvl w:val="0"/>
                <w:numId w:val="3"/>
              </w:numPr>
              <w:autoSpaceDE w:val="0"/>
              <w:autoSpaceDN w:val="0"/>
              <w:adjustRightInd w:val="0"/>
              <w:rPr>
                <w:sz w:val="22"/>
                <w:szCs w:val="22"/>
                <w:lang w:val="is-IS" w:eastAsia="is-IS"/>
              </w:rPr>
            </w:pPr>
            <w:r w:rsidRPr="001C333F">
              <w:rPr>
                <w:sz w:val="22"/>
                <w:szCs w:val="22"/>
                <w:lang w:val="is-IS" w:eastAsia="is-IS"/>
              </w:rPr>
              <w:t>reikningsskilaaðferðir og skýringar.</w:t>
            </w:r>
          </w:p>
          <w:p w:rsidR="003175D5" w:rsidRPr="001C333F" w:rsidRDefault="003175D5" w:rsidP="003175D5">
            <w:pPr>
              <w:autoSpaceDE w:val="0"/>
              <w:autoSpaceDN w:val="0"/>
              <w:adjustRightInd w:val="0"/>
              <w:rPr>
                <w:sz w:val="22"/>
                <w:szCs w:val="22"/>
                <w:lang w:val="is-IS" w:eastAsia="is-IS"/>
              </w:rPr>
            </w:pPr>
          </w:p>
          <w:p w:rsidR="00E640FD" w:rsidRPr="001C333F" w:rsidRDefault="003175D5" w:rsidP="003175D5">
            <w:pPr>
              <w:autoSpaceDE w:val="0"/>
              <w:autoSpaceDN w:val="0"/>
              <w:adjustRightInd w:val="0"/>
              <w:rPr>
                <w:sz w:val="22"/>
                <w:szCs w:val="22"/>
                <w:lang w:val="is-IS" w:eastAsia="is-IS"/>
              </w:rPr>
            </w:pPr>
            <w:r w:rsidRPr="001C333F">
              <w:rPr>
                <w:sz w:val="22"/>
                <w:szCs w:val="22"/>
                <w:lang w:val="is-IS" w:eastAsia="is-IS"/>
              </w:rPr>
              <w:t>Sögulegar, árlegar fjárhagsupplýsingar skulu vera endurskoðaðar sérstaklega eða þeim skal fylgja óháð skýrsla þar sem fram kemur hvort þær gefi glögga mynd af útgefanda í útgefandalýsingunni í samræmi við endurskoðunarstaðla sem gilda í viðkomandi aðildarríki, eða sambærilegan staðal.</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13.2.</w:t>
            </w:r>
          </w:p>
        </w:tc>
        <w:tc>
          <w:tcPr>
            <w:tcW w:w="7697" w:type="dxa"/>
            <w:vAlign w:val="center"/>
          </w:tcPr>
          <w:p w:rsidR="003175D5" w:rsidRPr="001C333F" w:rsidRDefault="003175D5" w:rsidP="003175D5">
            <w:pPr>
              <w:autoSpaceDE w:val="0"/>
              <w:autoSpaceDN w:val="0"/>
              <w:adjustRightInd w:val="0"/>
              <w:rPr>
                <w:i/>
                <w:sz w:val="22"/>
                <w:szCs w:val="22"/>
                <w:lang w:val="is-IS" w:eastAsia="is-IS"/>
              </w:rPr>
            </w:pPr>
            <w:r w:rsidRPr="001C333F">
              <w:rPr>
                <w:i/>
                <w:sz w:val="22"/>
                <w:szCs w:val="22"/>
                <w:lang w:val="is-IS" w:eastAsia="is-IS"/>
              </w:rPr>
              <w:t>Reikningsskil</w:t>
            </w:r>
          </w:p>
          <w:p w:rsidR="003175D5" w:rsidRPr="001C333F" w:rsidRDefault="003175D5" w:rsidP="003175D5">
            <w:pPr>
              <w:autoSpaceDE w:val="0"/>
              <w:autoSpaceDN w:val="0"/>
              <w:adjustRightInd w:val="0"/>
              <w:rPr>
                <w:sz w:val="22"/>
                <w:szCs w:val="22"/>
                <w:lang w:val="is-IS" w:eastAsia="is-IS"/>
              </w:rPr>
            </w:pPr>
          </w:p>
          <w:p w:rsidR="00E640FD" w:rsidRPr="001C333F" w:rsidRDefault="003175D5" w:rsidP="003175D5">
            <w:pPr>
              <w:autoSpaceDE w:val="0"/>
              <w:autoSpaceDN w:val="0"/>
              <w:adjustRightInd w:val="0"/>
              <w:rPr>
                <w:sz w:val="22"/>
                <w:szCs w:val="22"/>
                <w:lang w:val="is-IS" w:eastAsia="is-IS"/>
              </w:rPr>
            </w:pPr>
            <w:r w:rsidRPr="001C333F">
              <w:rPr>
                <w:sz w:val="22"/>
                <w:szCs w:val="22"/>
                <w:lang w:val="is-IS" w:eastAsia="is-IS"/>
              </w:rPr>
              <w:t>Ef útgefandi semur bæði eigin reikningsskil og samstæðureikningsskil skal a.m.k. fella samstæðureikningsskilin inn í útgefandalýsingu.</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13.3.</w:t>
            </w:r>
          </w:p>
        </w:tc>
        <w:tc>
          <w:tcPr>
            <w:tcW w:w="7697" w:type="dxa"/>
            <w:vAlign w:val="center"/>
          </w:tcPr>
          <w:p w:rsidR="00E640FD" w:rsidRPr="001C333F" w:rsidRDefault="003175D5" w:rsidP="009C0ABD">
            <w:pPr>
              <w:autoSpaceDE w:val="0"/>
              <w:autoSpaceDN w:val="0"/>
              <w:adjustRightInd w:val="0"/>
              <w:rPr>
                <w:i/>
                <w:sz w:val="22"/>
                <w:szCs w:val="22"/>
                <w:lang w:val="is-IS" w:eastAsia="is-IS"/>
              </w:rPr>
            </w:pPr>
            <w:r w:rsidRPr="001C333F">
              <w:rPr>
                <w:i/>
                <w:sz w:val="22"/>
                <w:szCs w:val="22"/>
                <w:lang w:val="is-IS" w:eastAsia="is-IS"/>
              </w:rPr>
              <w:t>Endurskoðun sögulegra, árlegra fjárhagsupplýsinga</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3175D5">
            <w:pPr>
              <w:rPr>
                <w:b/>
                <w:sz w:val="22"/>
                <w:szCs w:val="22"/>
                <w:lang w:val="is-IS"/>
              </w:rPr>
            </w:pPr>
            <w:r w:rsidRPr="001C333F">
              <w:rPr>
                <w:b/>
                <w:sz w:val="22"/>
                <w:szCs w:val="22"/>
                <w:lang w:val="is-IS"/>
              </w:rPr>
              <w:t>13.</w:t>
            </w:r>
            <w:r w:rsidR="003175D5" w:rsidRPr="001C333F">
              <w:rPr>
                <w:b/>
                <w:sz w:val="22"/>
                <w:szCs w:val="22"/>
                <w:lang w:val="is-IS"/>
              </w:rPr>
              <w:t>3.1.</w:t>
            </w:r>
          </w:p>
        </w:tc>
        <w:tc>
          <w:tcPr>
            <w:tcW w:w="7697" w:type="dxa"/>
            <w:vAlign w:val="center"/>
          </w:tcPr>
          <w:p w:rsidR="00E640FD" w:rsidRPr="001C333F" w:rsidRDefault="003175D5" w:rsidP="003175D5">
            <w:pPr>
              <w:autoSpaceDE w:val="0"/>
              <w:autoSpaceDN w:val="0"/>
              <w:adjustRightInd w:val="0"/>
              <w:rPr>
                <w:sz w:val="22"/>
                <w:szCs w:val="22"/>
                <w:lang w:val="is-IS" w:eastAsia="is-IS"/>
              </w:rPr>
            </w:pPr>
            <w:r w:rsidRPr="001C333F">
              <w:rPr>
                <w:sz w:val="22"/>
                <w:szCs w:val="22"/>
                <w:lang w:val="is-IS" w:eastAsia="is-IS"/>
              </w:rPr>
              <w:t>Yfirlýsing þess efnis að sögulegar fjárhagsupplýsingar hafi verið endurskoðaðar. Ef að fram hefur komið í endurskoðunarskýrslu vegna sögulegra fjárhags</w:t>
            </w:r>
            <w:r w:rsidRPr="001C333F">
              <w:rPr>
                <w:sz w:val="22"/>
                <w:szCs w:val="22"/>
                <w:lang w:val="is-IS" w:eastAsia="is-IS"/>
              </w:rPr>
              <w:softHyphen/>
              <w:t>upplýsinga að löggiltir endurskoðendur hafi hafnað að veita áritun eða ef áritun þeirra hefur að geyma fyrirvara eða afsal ábyrgðar skal birta slíka höfnun eða fyrirvara eða afsal í heild sinni og tilgreina ástæður þeirra.</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3175D5">
            <w:pPr>
              <w:rPr>
                <w:b/>
                <w:sz w:val="22"/>
                <w:szCs w:val="22"/>
                <w:lang w:val="is-IS"/>
              </w:rPr>
            </w:pPr>
            <w:r w:rsidRPr="001C333F">
              <w:rPr>
                <w:b/>
                <w:sz w:val="22"/>
                <w:szCs w:val="22"/>
                <w:lang w:val="is-IS"/>
              </w:rPr>
              <w:t>1</w:t>
            </w:r>
            <w:r w:rsidR="003175D5" w:rsidRPr="001C333F">
              <w:rPr>
                <w:b/>
                <w:sz w:val="22"/>
                <w:szCs w:val="22"/>
                <w:lang w:val="is-IS"/>
              </w:rPr>
              <w:t>3.3.2.</w:t>
            </w:r>
          </w:p>
        </w:tc>
        <w:tc>
          <w:tcPr>
            <w:tcW w:w="7697" w:type="dxa"/>
            <w:vAlign w:val="center"/>
          </w:tcPr>
          <w:p w:rsidR="00E640FD" w:rsidRPr="001C333F" w:rsidRDefault="003175D5" w:rsidP="009C0ABD">
            <w:pPr>
              <w:autoSpaceDE w:val="0"/>
              <w:autoSpaceDN w:val="0"/>
              <w:adjustRightInd w:val="0"/>
              <w:rPr>
                <w:bCs/>
                <w:sz w:val="22"/>
                <w:szCs w:val="22"/>
                <w:lang w:val="is-IS" w:eastAsia="is-IS"/>
              </w:rPr>
            </w:pPr>
            <w:r w:rsidRPr="001C333F">
              <w:rPr>
                <w:bCs/>
                <w:sz w:val="22"/>
                <w:szCs w:val="22"/>
                <w:lang w:val="is-IS" w:eastAsia="is-IS"/>
              </w:rPr>
              <w:t>Tilgreina skal aðrar upplýsingar í útgefandalýsingu sem endurskoðendur hafa endurskoðað.</w:t>
            </w:r>
          </w:p>
        </w:tc>
      </w:tr>
      <w:tr w:rsidR="00E640FD" w:rsidRPr="001C333F" w:rsidTr="001C333F">
        <w:trPr>
          <w:trHeight w:val="744"/>
        </w:trPr>
        <w:tc>
          <w:tcPr>
            <w:tcW w:w="1101" w:type="dxa"/>
          </w:tcPr>
          <w:p w:rsidR="00E640FD" w:rsidRPr="001C333F" w:rsidRDefault="00E640FD" w:rsidP="00A12814">
            <w:pPr>
              <w:rPr>
                <w:sz w:val="22"/>
                <w:szCs w:val="22"/>
                <w:lang w:val="is-IS"/>
              </w:rPr>
            </w:pPr>
          </w:p>
        </w:tc>
        <w:tc>
          <w:tcPr>
            <w:tcW w:w="850" w:type="dxa"/>
          </w:tcPr>
          <w:p w:rsidR="00E640FD" w:rsidRPr="001C333F" w:rsidRDefault="003175D5" w:rsidP="00A12814">
            <w:pPr>
              <w:rPr>
                <w:b/>
                <w:sz w:val="22"/>
                <w:szCs w:val="22"/>
                <w:lang w:val="is-IS"/>
              </w:rPr>
            </w:pPr>
            <w:r w:rsidRPr="001C333F">
              <w:rPr>
                <w:b/>
                <w:sz w:val="22"/>
                <w:szCs w:val="22"/>
                <w:lang w:val="is-IS"/>
              </w:rPr>
              <w:t>13.3.3.</w:t>
            </w:r>
          </w:p>
        </w:tc>
        <w:tc>
          <w:tcPr>
            <w:tcW w:w="7697" w:type="dxa"/>
            <w:vAlign w:val="center"/>
          </w:tcPr>
          <w:p w:rsidR="00E640FD" w:rsidRPr="001C333F" w:rsidRDefault="003175D5" w:rsidP="003175D5">
            <w:pPr>
              <w:autoSpaceDE w:val="0"/>
              <w:autoSpaceDN w:val="0"/>
              <w:adjustRightInd w:val="0"/>
              <w:rPr>
                <w:sz w:val="22"/>
                <w:szCs w:val="22"/>
                <w:lang w:val="is-IS" w:eastAsia="is-IS"/>
              </w:rPr>
            </w:pPr>
            <w:r w:rsidRPr="001C333F">
              <w:rPr>
                <w:sz w:val="22"/>
                <w:szCs w:val="22"/>
                <w:lang w:val="is-IS" w:eastAsia="is-IS"/>
              </w:rPr>
              <w:t>Ef fjárhagsupplýsingar í útgefandalýsingu eru ekki fengnar úr endurskoðuðum reikningsskilum útgefanda skal tilgreina hvaðan þær eru fengnar og skýra frá því að upplýsingarnar séu ekki endurskoðaðar.</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13.4.</w:t>
            </w:r>
          </w:p>
        </w:tc>
        <w:tc>
          <w:tcPr>
            <w:tcW w:w="7697" w:type="dxa"/>
            <w:vAlign w:val="center"/>
          </w:tcPr>
          <w:p w:rsidR="006D30AF" w:rsidRPr="001C333F" w:rsidRDefault="006D30AF" w:rsidP="009C0ABD">
            <w:pPr>
              <w:autoSpaceDE w:val="0"/>
              <w:autoSpaceDN w:val="0"/>
              <w:adjustRightInd w:val="0"/>
              <w:rPr>
                <w:sz w:val="22"/>
                <w:szCs w:val="22"/>
                <w:lang w:val="is-IS" w:eastAsia="is-IS"/>
              </w:rPr>
            </w:pPr>
            <w:r w:rsidRPr="001C333F">
              <w:rPr>
                <w:i/>
                <w:iCs/>
                <w:sz w:val="22"/>
                <w:szCs w:val="22"/>
                <w:lang w:val="is-IS" w:eastAsia="is-IS"/>
              </w:rPr>
              <w:t>Síðustu fjárhagsupplýsingar</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13.4.1.</w:t>
            </w:r>
          </w:p>
        </w:tc>
        <w:tc>
          <w:tcPr>
            <w:tcW w:w="7697" w:type="dxa"/>
            <w:vAlign w:val="center"/>
          </w:tcPr>
          <w:p w:rsidR="006D30AF" w:rsidRPr="001C333F" w:rsidRDefault="006D30AF" w:rsidP="006D30AF">
            <w:pPr>
              <w:autoSpaceDE w:val="0"/>
              <w:autoSpaceDN w:val="0"/>
              <w:adjustRightInd w:val="0"/>
              <w:rPr>
                <w:sz w:val="22"/>
                <w:szCs w:val="22"/>
                <w:lang w:val="is-IS" w:eastAsia="is-IS"/>
              </w:rPr>
            </w:pPr>
            <w:r w:rsidRPr="001C333F">
              <w:rPr>
                <w:sz w:val="22"/>
                <w:szCs w:val="22"/>
                <w:lang w:val="is-IS" w:eastAsia="is-IS"/>
              </w:rPr>
              <w:t>Ekki má vera lengra um liðið frá síðasta fjárhagsári, sem endurskoðaðar fjárhagsupplýsingar liggja fyrir um en 18 mánuðir miðað við dagsetningu útgefandalýsingar.</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13.5</w:t>
            </w:r>
          </w:p>
        </w:tc>
        <w:tc>
          <w:tcPr>
            <w:tcW w:w="7697" w:type="dxa"/>
            <w:vAlign w:val="center"/>
          </w:tcPr>
          <w:p w:rsidR="006D30AF" w:rsidRPr="001C333F" w:rsidRDefault="006D30AF" w:rsidP="009C0ABD">
            <w:pPr>
              <w:autoSpaceDE w:val="0"/>
              <w:autoSpaceDN w:val="0"/>
              <w:adjustRightInd w:val="0"/>
              <w:rPr>
                <w:sz w:val="22"/>
                <w:szCs w:val="22"/>
                <w:lang w:val="is-IS" w:eastAsia="is-IS"/>
              </w:rPr>
            </w:pPr>
            <w:r w:rsidRPr="001C333F">
              <w:rPr>
                <w:i/>
                <w:iCs/>
                <w:sz w:val="22"/>
                <w:szCs w:val="22"/>
                <w:lang w:val="is-IS" w:eastAsia="is-IS"/>
              </w:rPr>
              <w:t>Fjárhagsupplýsingar árshluta og aðrar fjárhagsupplýsingar</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13.5.1.</w:t>
            </w:r>
          </w:p>
        </w:tc>
        <w:tc>
          <w:tcPr>
            <w:tcW w:w="7697" w:type="dxa"/>
            <w:vAlign w:val="center"/>
          </w:tcPr>
          <w:p w:rsidR="006D30AF" w:rsidRPr="001C333F" w:rsidRDefault="006D30AF" w:rsidP="006D30AF">
            <w:pPr>
              <w:autoSpaceDE w:val="0"/>
              <w:autoSpaceDN w:val="0"/>
              <w:adjustRightInd w:val="0"/>
              <w:rPr>
                <w:sz w:val="22"/>
                <w:szCs w:val="22"/>
                <w:lang w:val="is-IS" w:eastAsia="is-IS"/>
              </w:rPr>
            </w:pPr>
            <w:r w:rsidRPr="001C333F">
              <w:rPr>
                <w:sz w:val="22"/>
                <w:szCs w:val="22"/>
                <w:lang w:val="is-IS" w:eastAsia="is-IS"/>
              </w:rPr>
              <w:t>Ef útgefandinn hefur birt ársfjórðungslegar eða hálfsárs fjárhagsupplýsingar frá síðustu endurskoðuðu reikningsskilum skulu þær felldar inn í útgefandalýsingu. Ef ársfjórðungslegar eða hálfsárs fjárhagsupplýsingar hafa verið kannaðar eða endurskoðaðar skal einnig fella endurskoðunar- eða könnunarskýrsluna þar inn í. Ef ársfjórðungslegar eða hálfsárs fjárhagsupplýsingar hafa ekki verið endur</w:t>
            </w:r>
            <w:r w:rsidRPr="001C333F">
              <w:rPr>
                <w:sz w:val="22"/>
                <w:szCs w:val="22"/>
                <w:lang w:val="is-IS" w:eastAsia="is-IS"/>
              </w:rPr>
              <w:softHyphen/>
              <w:t>skoðaðar eða kannaðar skal skýra frá því.</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13.5.2.</w:t>
            </w:r>
          </w:p>
        </w:tc>
        <w:tc>
          <w:tcPr>
            <w:tcW w:w="7697" w:type="dxa"/>
            <w:vAlign w:val="center"/>
          </w:tcPr>
          <w:p w:rsidR="006D30AF" w:rsidRPr="001C333F" w:rsidRDefault="006D30AF" w:rsidP="006D30AF">
            <w:pPr>
              <w:autoSpaceDE w:val="0"/>
              <w:autoSpaceDN w:val="0"/>
              <w:adjustRightInd w:val="0"/>
              <w:rPr>
                <w:sz w:val="22"/>
                <w:szCs w:val="22"/>
                <w:lang w:val="is-IS" w:eastAsia="is-IS"/>
              </w:rPr>
            </w:pPr>
            <w:r w:rsidRPr="001C333F">
              <w:rPr>
                <w:sz w:val="22"/>
                <w:szCs w:val="22"/>
                <w:lang w:val="is-IS" w:eastAsia="is-IS"/>
              </w:rPr>
              <w:t>Ef útgefandalýsing er dagsett meira en níu mánuðum eftir lok síðasta endurskoðaða fjárhagsárs, skal hún hafa að geyma fjárhagsupplýsingar árshluta sem taka a.m.k. til fyrstu sex mánaða fjárhagsársins. Ef fjárhagsupplýsingar</w:t>
            </w:r>
          </w:p>
          <w:p w:rsidR="006D30AF" w:rsidRPr="001C333F" w:rsidRDefault="006D30AF" w:rsidP="006D30AF">
            <w:pPr>
              <w:autoSpaceDE w:val="0"/>
              <w:autoSpaceDN w:val="0"/>
              <w:adjustRightInd w:val="0"/>
              <w:rPr>
                <w:sz w:val="22"/>
                <w:szCs w:val="22"/>
                <w:lang w:val="is-IS" w:eastAsia="is-IS"/>
              </w:rPr>
            </w:pPr>
            <w:r w:rsidRPr="001C333F">
              <w:rPr>
                <w:sz w:val="22"/>
                <w:szCs w:val="22"/>
                <w:lang w:val="is-IS" w:eastAsia="is-IS"/>
              </w:rPr>
              <w:t>árshluta eru ekki endurskoðaðar skal skýra frá því. Fjárhagsupplýsingar árshluta skulu hafa að geyma samanburðarupplýsingar fyrir sama tímabil fyrra fjárhagsárs að undanskildu því að uppfylla má kröfu um samanburðar</w:t>
            </w:r>
            <w:r w:rsidRPr="001C333F">
              <w:rPr>
                <w:sz w:val="22"/>
                <w:szCs w:val="22"/>
                <w:lang w:val="is-IS" w:eastAsia="is-IS"/>
              </w:rPr>
              <w:softHyphen/>
              <w:t>upplýsingar um efnahagsreikning með því að leggja fram árslokaupplýsingar úr efnahagsreikningi.</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13.6.</w:t>
            </w:r>
          </w:p>
        </w:tc>
        <w:tc>
          <w:tcPr>
            <w:tcW w:w="7697" w:type="dxa"/>
            <w:vAlign w:val="center"/>
          </w:tcPr>
          <w:p w:rsidR="006D30AF" w:rsidRPr="001C333F" w:rsidRDefault="006D30AF" w:rsidP="006D30AF">
            <w:pPr>
              <w:autoSpaceDE w:val="0"/>
              <w:autoSpaceDN w:val="0"/>
              <w:adjustRightInd w:val="0"/>
              <w:rPr>
                <w:i/>
                <w:iCs/>
                <w:sz w:val="22"/>
                <w:szCs w:val="22"/>
                <w:lang w:val="is-IS" w:eastAsia="is-IS"/>
              </w:rPr>
            </w:pPr>
            <w:r w:rsidRPr="001C333F">
              <w:rPr>
                <w:i/>
                <w:iCs/>
                <w:sz w:val="22"/>
                <w:szCs w:val="22"/>
                <w:lang w:val="is-IS" w:eastAsia="is-IS"/>
              </w:rPr>
              <w:t>Dómsmál og gerðardómsmál</w:t>
            </w:r>
          </w:p>
          <w:p w:rsidR="006D30AF" w:rsidRPr="001C333F" w:rsidRDefault="006D30AF" w:rsidP="006D30AF">
            <w:pPr>
              <w:autoSpaceDE w:val="0"/>
              <w:autoSpaceDN w:val="0"/>
              <w:adjustRightInd w:val="0"/>
              <w:rPr>
                <w:i/>
                <w:iCs/>
                <w:sz w:val="22"/>
                <w:szCs w:val="22"/>
                <w:lang w:val="is-IS" w:eastAsia="is-IS"/>
              </w:rPr>
            </w:pPr>
          </w:p>
          <w:p w:rsidR="006D30AF" w:rsidRPr="001C333F" w:rsidRDefault="006D30AF" w:rsidP="006D30AF">
            <w:pPr>
              <w:autoSpaceDE w:val="0"/>
              <w:autoSpaceDN w:val="0"/>
              <w:adjustRightInd w:val="0"/>
              <w:rPr>
                <w:sz w:val="22"/>
                <w:szCs w:val="22"/>
                <w:lang w:val="is-IS" w:eastAsia="is-IS"/>
              </w:rPr>
            </w:pPr>
            <w:r w:rsidRPr="001C333F">
              <w:rPr>
                <w:sz w:val="22"/>
                <w:szCs w:val="22"/>
                <w:lang w:val="is-IS" w:eastAsia="is-IS"/>
              </w:rPr>
              <w:t xml:space="preserve">Upplýsingar um stjórnsýslu-, dóms- eða gerðardómsmál (þ.m.t. þau mál sem eru til meðferðar eða yfirvofandi og útgefanda er kunnugt um) a.m.k. síðustu tólf mánaða sem kunna að hafa haft eða hafa að undanförnu haft veruleg áhrif á fjárhagsstöðu eða arðsemi útgefanda og/eða samstæðunnar eða ef slíkt er ekki fyrir hendi skal gefa </w:t>
            </w:r>
            <w:r w:rsidRPr="001C333F">
              <w:rPr>
                <w:sz w:val="22"/>
                <w:szCs w:val="22"/>
                <w:lang w:val="is-IS" w:eastAsia="is-IS"/>
              </w:rPr>
              <w:lastRenderedPageBreak/>
              <w:t>yfirlýsingu þess efnis.</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13.7</w:t>
            </w:r>
          </w:p>
        </w:tc>
        <w:tc>
          <w:tcPr>
            <w:tcW w:w="7697" w:type="dxa"/>
            <w:vAlign w:val="center"/>
          </w:tcPr>
          <w:p w:rsidR="006D30AF" w:rsidRPr="001C333F" w:rsidRDefault="006D30AF" w:rsidP="006D30AF">
            <w:pPr>
              <w:autoSpaceDE w:val="0"/>
              <w:autoSpaceDN w:val="0"/>
              <w:adjustRightInd w:val="0"/>
              <w:rPr>
                <w:i/>
                <w:iCs/>
                <w:sz w:val="22"/>
                <w:szCs w:val="22"/>
                <w:lang w:val="is-IS" w:eastAsia="is-IS"/>
              </w:rPr>
            </w:pPr>
            <w:r w:rsidRPr="001C333F">
              <w:rPr>
                <w:i/>
                <w:iCs/>
                <w:sz w:val="22"/>
                <w:szCs w:val="22"/>
                <w:lang w:val="is-IS" w:eastAsia="is-IS"/>
              </w:rPr>
              <w:t>Mikilvægar breytingar á fjárhags- eða viðskiptastöðu útgefanda</w:t>
            </w:r>
          </w:p>
          <w:p w:rsidR="006D30AF" w:rsidRPr="001C333F" w:rsidRDefault="006D30AF" w:rsidP="006D30AF">
            <w:pPr>
              <w:autoSpaceDE w:val="0"/>
              <w:autoSpaceDN w:val="0"/>
              <w:adjustRightInd w:val="0"/>
              <w:rPr>
                <w:iCs/>
                <w:sz w:val="22"/>
                <w:szCs w:val="22"/>
                <w:lang w:val="is-IS" w:eastAsia="is-IS"/>
              </w:rPr>
            </w:pPr>
          </w:p>
          <w:p w:rsidR="006D30AF" w:rsidRPr="001C333F" w:rsidRDefault="006D30AF" w:rsidP="006D30AF">
            <w:pPr>
              <w:autoSpaceDE w:val="0"/>
              <w:autoSpaceDN w:val="0"/>
              <w:adjustRightInd w:val="0"/>
              <w:rPr>
                <w:sz w:val="22"/>
                <w:szCs w:val="22"/>
                <w:lang w:val="is-IS" w:eastAsia="is-IS"/>
              </w:rPr>
            </w:pPr>
            <w:r w:rsidRPr="001C333F">
              <w:rPr>
                <w:sz w:val="22"/>
                <w:szCs w:val="22"/>
                <w:lang w:val="is-IS" w:eastAsia="is-IS"/>
              </w:rPr>
              <w:t>Lýsing á hvers kyns mikilvægum breytingum á fjárhags- eða viðskiptastöðu samstæðunnar sem hafa átt sér stað frá lokum síðasta fjárhagstímabils og sem annaðhvort endurskoðaðar fjárhagsupplýsingar eða fjárhagsupplýsingar árshluta verið birtar um eða yfirlýsing um að slíkar breytingar hafi ekki átt sér stað.</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14</w:t>
            </w:r>
          </w:p>
        </w:tc>
        <w:tc>
          <w:tcPr>
            <w:tcW w:w="7697" w:type="dxa"/>
            <w:vAlign w:val="center"/>
          </w:tcPr>
          <w:p w:rsidR="006D30AF" w:rsidRPr="001C333F" w:rsidRDefault="006D30AF" w:rsidP="009C0ABD">
            <w:pPr>
              <w:autoSpaceDE w:val="0"/>
              <w:autoSpaceDN w:val="0"/>
              <w:adjustRightInd w:val="0"/>
              <w:rPr>
                <w:sz w:val="22"/>
                <w:szCs w:val="22"/>
                <w:lang w:val="is-IS" w:eastAsia="is-IS"/>
              </w:rPr>
            </w:pPr>
            <w:r w:rsidRPr="001C333F">
              <w:rPr>
                <w:b/>
                <w:bCs/>
                <w:sz w:val="22"/>
                <w:szCs w:val="22"/>
                <w:lang w:val="is-IS" w:eastAsia="is-IS"/>
              </w:rPr>
              <w:t>VIÐBÓTARUPPLÝSINGAR</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14.1.</w:t>
            </w:r>
          </w:p>
        </w:tc>
        <w:tc>
          <w:tcPr>
            <w:tcW w:w="7697" w:type="dxa"/>
            <w:vAlign w:val="center"/>
          </w:tcPr>
          <w:p w:rsidR="006D30AF" w:rsidRPr="001C333F" w:rsidRDefault="006D30AF" w:rsidP="009C0ABD">
            <w:pPr>
              <w:autoSpaceDE w:val="0"/>
              <w:autoSpaceDN w:val="0"/>
              <w:adjustRightInd w:val="0"/>
              <w:rPr>
                <w:i/>
                <w:iCs/>
                <w:sz w:val="22"/>
                <w:szCs w:val="22"/>
                <w:lang w:val="is-IS" w:eastAsia="is-IS"/>
              </w:rPr>
            </w:pPr>
            <w:r w:rsidRPr="001C333F">
              <w:rPr>
                <w:i/>
                <w:iCs/>
                <w:sz w:val="22"/>
                <w:szCs w:val="22"/>
                <w:lang w:val="is-IS" w:eastAsia="is-IS"/>
              </w:rPr>
              <w:t>Hlutafé</w:t>
            </w:r>
          </w:p>
        </w:tc>
      </w:tr>
      <w:tr w:rsidR="006D30AF" w:rsidRPr="001C333F" w:rsidTr="001C333F">
        <w:tc>
          <w:tcPr>
            <w:tcW w:w="1101" w:type="dxa"/>
          </w:tcPr>
          <w:p w:rsidR="006D30AF" w:rsidRPr="001C333F" w:rsidRDefault="006D30AF" w:rsidP="00A12814">
            <w:pPr>
              <w:rPr>
                <w:sz w:val="22"/>
                <w:szCs w:val="22"/>
                <w:lang w:val="is-IS"/>
              </w:rPr>
            </w:pPr>
          </w:p>
        </w:tc>
        <w:tc>
          <w:tcPr>
            <w:tcW w:w="850" w:type="dxa"/>
          </w:tcPr>
          <w:p w:rsidR="006D30AF" w:rsidRPr="001C333F" w:rsidRDefault="006D30AF" w:rsidP="00A12814">
            <w:pPr>
              <w:rPr>
                <w:b/>
                <w:sz w:val="22"/>
                <w:szCs w:val="22"/>
                <w:lang w:val="is-IS"/>
              </w:rPr>
            </w:pPr>
            <w:r w:rsidRPr="001C333F">
              <w:rPr>
                <w:b/>
                <w:sz w:val="22"/>
                <w:szCs w:val="22"/>
                <w:lang w:val="is-IS"/>
              </w:rPr>
              <w:t>14.1.1.</w:t>
            </w:r>
          </w:p>
        </w:tc>
        <w:tc>
          <w:tcPr>
            <w:tcW w:w="7697" w:type="dxa"/>
            <w:vAlign w:val="center"/>
          </w:tcPr>
          <w:p w:rsidR="006D30AF" w:rsidRPr="001C333F" w:rsidRDefault="006D30AF" w:rsidP="00956A8D">
            <w:pPr>
              <w:autoSpaceDE w:val="0"/>
              <w:autoSpaceDN w:val="0"/>
              <w:adjustRightInd w:val="0"/>
              <w:rPr>
                <w:sz w:val="22"/>
                <w:szCs w:val="22"/>
                <w:lang w:val="is-IS" w:eastAsia="is-IS"/>
              </w:rPr>
            </w:pPr>
            <w:r w:rsidRPr="001C333F">
              <w:rPr>
                <w:sz w:val="22"/>
                <w:szCs w:val="22"/>
                <w:lang w:val="is-IS" w:eastAsia="is-IS"/>
              </w:rPr>
              <w:t>Fjárhæð útgefins hlutafjár, fjöldi og flokkar hluta sem það samanstendur af ásamt ítarlegum upplýsingum um</w:t>
            </w:r>
            <w:r w:rsidR="00956A8D" w:rsidRPr="001C333F">
              <w:rPr>
                <w:sz w:val="22"/>
                <w:szCs w:val="22"/>
                <w:lang w:val="is-IS" w:eastAsia="is-IS"/>
              </w:rPr>
              <w:t xml:space="preserve"> </w:t>
            </w:r>
            <w:r w:rsidRPr="001C333F">
              <w:rPr>
                <w:sz w:val="22"/>
                <w:szCs w:val="22"/>
                <w:lang w:val="is-IS" w:eastAsia="is-IS"/>
              </w:rPr>
              <w:t>helstu einkenni þeirra, sá hluti útgefins hlutafjár sem ekki hefur verið greiddur að fullu, ásamt upplýsingum um</w:t>
            </w:r>
            <w:r w:rsidR="00956A8D" w:rsidRPr="001C333F">
              <w:rPr>
                <w:sz w:val="22"/>
                <w:szCs w:val="22"/>
                <w:lang w:val="is-IS" w:eastAsia="is-IS"/>
              </w:rPr>
              <w:t xml:space="preserve"> </w:t>
            </w:r>
            <w:r w:rsidRPr="001C333F">
              <w:rPr>
                <w:sz w:val="22"/>
                <w:szCs w:val="22"/>
                <w:lang w:val="is-IS" w:eastAsia="is-IS"/>
              </w:rPr>
              <w:t>fjölda eða heildarnafnverð og tegund þeirra hluta sem hafa ekki verið greiddir að fullu, sundurliðað, þar sem við</w:t>
            </w:r>
            <w:r w:rsidR="00956A8D" w:rsidRPr="001C333F">
              <w:rPr>
                <w:sz w:val="22"/>
                <w:szCs w:val="22"/>
                <w:lang w:val="is-IS" w:eastAsia="is-IS"/>
              </w:rPr>
              <w:t xml:space="preserve"> </w:t>
            </w:r>
            <w:r w:rsidRPr="001C333F">
              <w:rPr>
                <w:sz w:val="22"/>
                <w:szCs w:val="22"/>
                <w:lang w:val="is-IS" w:eastAsia="is-IS"/>
              </w:rPr>
              <w:t>á, eftir því hversu mikið þeir hafa verið greiddir upp.</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14.2.</w:t>
            </w:r>
          </w:p>
        </w:tc>
        <w:tc>
          <w:tcPr>
            <w:tcW w:w="7697" w:type="dxa"/>
            <w:vAlign w:val="center"/>
          </w:tcPr>
          <w:p w:rsidR="00E640FD" w:rsidRPr="001C333F" w:rsidRDefault="00DD7BCE" w:rsidP="009C0ABD">
            <w:pPr>
              <w:autoSpaceDE w:val="0"/>
              <w:autoSpaceDN w:val="0"/>
              <w:adjustRightInd w:val="0"/>
              <w:rPr>
                <w:sz w:val="22"/>
                <w:szCs w:val="22"/>
                <w:lang w:val="is-IS" w:eastAsia="is-IS"/>
              </w:rPr>
            </w:pPr>
            <w:r w:rsidRPr="001C333F">
              <w:rPr>
                <w:i/>
                <w:iCs/>
                <w:sz w:val="22"/>
                <w:szCs w:val="22"/>
                <w:lang w:val="is-IS" w:eastAsia="is-IS"/>
              </w:rPr>
              <w:t>Stofnsamningur og samþykktir</w:t>
            </w:r>
          </w:p>
        </w:tc>
      </w:tr>
      <w:tr w:rsidR="00DD7BCE" w:rsidRPr="001C333F" w:rsidTr="001C333F">
        <w:tc>
          <w:tcPr>
            <w:tcW w:w="1101" w:type="dxa"/>
          </w:tcPr>
          <w:p w:rsidR="00DD7BCE" w:rsidRPr="001C333F" w:rsidRDefault="00DD7BCE" w:rsidP="00A12814">
            <w:pPr>
              <w:rPr>
                <w:sz w:val="22"/>
                <w:szCs w:val="22"/>
                <w:lang w:val="is-IS"/>
              </w:rPr>
            </w:pPr>
          </w:p>
        </w:tc>
        <w:tc>
          <w:tcPr>
            <w:tcW w:w="850" w:type="dxa"/>
          </w:tcPr>
          <w:p w:rsidR="00DD7BCE" w:rsidRPr="001C333F" w:rsidRDefault="00DD7BCE" w:rsidP="00A12814">
            <w:pPr>
              <w:rPr>
                <w:b/>
                <w:sz w:val="22"/>
                <w:szCs w:val="22"/>
                <w:lang w:val="is-IS"/>
              </w:rPr>
            </w:pPr>
            <w:r w:rsidRPr="001C333F">
              <w:rPr>
                <w:b/>
                <w:sz w:val="22"/>
                <w:szCs w:val="22"/>
                <w:lang w:val="is-IS"/>
              </w:rPr>
              <w:t>14.2.1.</w:t>
            </w:r>
          </w:p>
        </w:tc>
        <w:tc>
          <w:tcPr>
            <w:tcW w:w="7697" w:type="dxa"/>
            <w:vAlign w:val="center"/>
          </w:tcPr>
          <w:p w:rsidR="00DD7BCE" w:rsidRPr="001C333F" w:rsidRDefault="00DD7BCE" w:rsidP="00DD7BCE">
            <w:pPr>
              <w:autoSpaceDE w:val="0"/>
              <w:autoSpaceDN w:val="0"/>
              <w:adjustRightInd w:val="0"/>
              <w:rPr>
                <w:b/>
                <w:bCs/>
                <w:sz w:val="22"/>
                <w:szCs w:val="22"/>
                <w:lang w:val="is-IS" w:eastAsia="is-IS"/>
              </w:rPr>
            </w:pPr>
            <w:r w:rsidRPr="001C333F">
              <w:rPr>
                <w:sz w:val="22"/>
                <w:szCs w:val="22"/>
                <w:lang w:val="is-IS" w:eastAsia="is-IS"/>
              </w:rPr>
              <w:t>Upplýsingar um skrá og skráningarnúmer, ef við á, ásamt lýsingu á tilgangi og markmiðum útgefanda og hvar þau sé að finna í stofnsamningi og samþykktum.</w:t>
            </w:r>
          </w:p>
        </w:tc>
      </w:tr>
      <w:tr w:rsidR="00E640FD" w:rsidRPr="001C333F" w:rsidTr="001C333F">
        <w:tc>
          <w:tcPr>
            <w:tcW w:w="1101" w:type="dxa"/>
          </w:tcPr>
          <w:p w:rsidR="00E640FD" w:rsidRPr="001C333F" w:rsidRDefault="00E640FD" w:rsidP="00A12814">
            <w:pPr>
              <w:rPr>
                <w:sz w:val="22"/>
                <w:szCs w:val="22"/>
                <w:lang w:val="is-IS"/>
              </w:rPr>
            </w:pPr>
          </w:p>
        </w:tc>
        <w:tc>
          <w:tcPr>
            <w:tcW w:w="850" w:type="dxa"/>
          </w:tcPr>
          <w:p w:rsidR="00E640FD" w:rsidRPr="001C333F" w:rsidRDefault="00E640FD" w:rsidP="00A12814">
            <w:pPr>
              <w:rPr>
                <w:b/>
                <w:sz w:val="22"/>
                <w:szCs w:val="22"/>
                <w:lang w:val="is-IS"/>
              </w:rPr>
            </w:pPr>
            <w:r w:rsidRPr="001C333F">
              <w:rPr>
                <w:b/>
                <w:sz w:val="22"/>
                <w:szCs w:val="22"/>
                <w:lang w:val="is-IS"/>
              </w:rPr>
              <w:t>15.</w:t>
            </w:r>
          </w:p>
        </w:tc>
        <w:tc>
          <w:tcPr>
            <w:tcW w:w="7697" w:type="dxa"/>
            <w:vAlign w:val="center"/>
          </w:tcPr>
          <w:p w:rsidR="00E640FD" w:rsidRPr="001C333F" w:rsidRDefault="00DD7BCE" w:rsidP="00DD7BCE">
            <w:pPr>
              <w:autoSpaceDE w:val="0"/>
              <w:autoSpaceDN w:val="0"/>
              <w:adjustRightInd w:val="0"/>
              <w:rPr>
                <w:b/>
                <w:bCs/>
                <w:sz w:val="22"/>
                <w:szCs w:val="22"/>
                <w:lang w:val="is-IS" w:eastAsia="is-IS"/>
              </w:rPr>
            </w:pPr>
            <w:r w:rsidRPr="001C333F">
              <w:rPr>
                <w:b/>
                <w:bCs/>
                <w:sz w:val="22"/>
                <w:szCs w:val="22"/>
                <w:lang w:val="is-IS" w:eastAsia="is-IS"/>
              </w:rPr>
              <w:t>MIKILVÆGIR SAMNINGAR</w:t>
            </w:r>
          </w:p>
          <w:p w:rsidR="00DD7BCE" w:rsidRPr="001C333F" w:rsidRDefault="00DD7BCE" w:rsidP="00DD7BCE">
            <w:pPr>
              <w:autoSpaceDE w:val="0"/>
              <w:autoSpaceDN w:val="0"/>
              <w:adjustRightInd w:val="0"/>
              <w:rPr>
                <w:sz w:val="22"/>
                <w:szCs w:val="22"/>
                <w:lang w:val="is-IS" w:eastAsia="is-IS"/>
              </w:rPr>
            </w:pPr>
          </w:p>
          <w:p w:rsidR="00E640FD" w:rsidRPr="001C333F" w:rsidRDefault="00DD7BCE" w:rsidP="00DD7BCE">
            <w:pPr>
              <w:autoSpaceDE w:val="0"/>
              <w:autoSpaceDN w:val="0"/>
              <w:adjustRightInd w:val="0"/>
              <w:rPr>
                <w:sz w:val="22"/>
                <w:szCs w:val="22"/>
                <w:lang w:val="is-IS" w:eastAsia="is-IS"/>
              </w:rPr>
            </w:pPr>
            <w:r w:rsidRPr="001C333F">
              <w:rPr>
                <w:sz w:val="22"/>
                <w:szCs w:val="22"/>
                <w:lang w:val="is-IS" w:eastAsia="is-IS"/>
              </w:rPr>
              <w:t>Stutt samantekt á öllum mikilvægum samningum sem hafa ekki verið gerðir í hefðbundinni starfsemi útgefanda þar sem hver aðili að samstæðunni hefur skyldum að gegna eða hefur tiltekin réttindi sem skipta máli fyrir getu útgefandans til að uppfylla skuldbindingar sínar gagnvart verðbréfaeigendum að því er varðar verðbréfin sem verið er að gefa út.</w:t>
            </w:r>
          </w:p>
        </w:tc>
      </w:tr>
      <w:tr w:rsidR="00DD7BCE" w:rsidRPr="001C333F" w:rsidTr="001C333F">
        <w:tc>
          <w:tcPr>
            <w:tcW w:w="1101" w:type="dxa"/>
          </w:tcPr>
          <w:p w:rsidR="00DD7BCE" w:rsidRPr="001C333F" w:rsidRDefault="00DD7BCE" w:rsidP="00A12814">
            <w:pPr>
              <w:rPr>
                <w:sz w:val="22"/>
                <w:szCs w:val="22"/>
                <w:lang w:val="is-IS"/>
              </w:rPr>
            </w:pPr>
          </w:p>
        </w:tc>
        <w:tc>
          <w:tcPr>
            <w:tcW w:w="850" w:type="dxa"/>
          </w:tcPr>
          <w:p w:rsidR="00DD7BCE" w:rsidRPr="001C333F" w:rsidRDefault="00DD7BCE" w:rsidP="00A12814">
            <w:pPr>
              <w:rPr>
                <w:b/>
                <w:sz w:val="22"/>
                <w:szCs w:val="22"/>
                <w:lang w:val="is-IS"/>
              </w:rPr>
            </w:pPr>
            <w:r w:rsidRPr="001C333F">
              <w:rPr>
                <w:b/>
                <w:sz w:val="22"/>
                <w:szCs w:val="22"/>
                <w:lang w:val="is-IS"/>
              </w:rPr>
              <w:t>16.</w:t>
            </w:r>
          </w:p>
        </w:tc>
        <w:tc>
          <w:tcPr>
            <w:tcW w:w="7697" w:type="dxa"/>
            <w:vAlign w:val="center"/>
          </w:tcPr>
          <w:p w:rsidR="00DD7BCE" w:rsidRPr="001C333F" w:rsidRDefault="00DD7BCE" w:rsidP="009C0ABD">
            <w:pPr>
              <w:autoSpaceDE w:val="0"/>
              <w:autoSpaceDN w:val="0"/>
              <w:adjustRightInd w:val="0"/>
              <w:rPr>
                <w:sz w:val="22"/>
                <w:szCs w:val="22"/>
                <w:lang w:val="is-IS" w:eastAsia="is-IS"/>
              </w:rPr>
            </w:pPr>
            <w:r w:rsidRPr="001C333F">
              <w:rPr>
                <w:b/>
                <w:bCs/>
                <w:sz w:val="22"/>
                <w:szCs w:val="22"/>
                <w:lang w:val="is-IS" w:eastAsia="is-IS"/>
              </w:rPr>
              <w:t>UPPLÝSINGAR FRÁ ÞRIÐJA AÐILA, SÉRFRÆÐIÁLIT OG HAGSMUNAYFIRLÝSINGAR</w:t>
            </w:r>
          </w:p>
        </w:tc>
      </w:tr>
      <w:tr w:rsidR="00DD7BCE" w:rsidRPr="001C333F" w:rsidTr="001C333F">
        <w:tc>
          <w:tcPr>
            <w:tcW w:w="1101" w:type="dxa"/>
          </w:tcPr>
          <w:p w:rsidR="00DD7BCE" w:rsidRPr="001C333F" w:rsidRDefault="00DD7BCE" w:rsidP="00A12814">
            <w:pPr>
              <w:rPr>
                <w:sz w:val="22"/>
                <w:szCs w:val="22"/>
                <w:lang w:val="is-IS"/>
              </w:rPr>
            </w:pPr>
          </w:p>
        </w:tc>
        <w:tc>
          <w:tcPr>
            <w:tcW w:w="850" w:type="dxa"/>
          </w:tcPr>
          <w:p w:rsidR="00DD7BCE" w:rsidRPr="001C333F" w:rsidRDefault="00DD7BCE" w:rsidP="00A12814">
            <w:pPr>
              <w:rPr>
                <w:b/>
                <w:sz w:val="22"/>
                <w:szCs w:val="22"/>
                <w:lang w:val="is-IS"/>
              </w:rPr>
            </w:pPr>
            <w:r w:rsidRPr="001C333F">
              <w:rPr>
                <w:b/>
                <w:sz w:val="22"/>
                <w:szCs w:val="22"/>
                <w:lang w:val="is-IS"/>
              </w:rPr>
              <w:t>16.1.</w:t>
            </w:r>
          </w:p>
        </w:tc>
        <w:tc>
          <w:tcPr>
            <w:tcW w:w="7697" w:type="dxa"/>
            <w:vAlign w:val="center"/>
          </w:tcPr>
          <w:p w:rsidR="00DD7BCE" w:rsidRPr="001C333F" w:rsidRDefault="001137B0" w:rsidP="001137B0">
            <w:pPr>
              <w:autoSpaceDE w:val="0"/>
              <w:autoSpaceDN w:val="0"/>
              <w:adjustRightInd w:val="0"/>
              <w:rPr>
                <w:sz w:val="22"/>
                <w:szCs w:val="22"/>
                <w:lang w:val="is-IS" w:eastAsia="is-IS"/>
              </w:rPr>
            </w:pPr>
            <w:r w:rsidRPr="001C333F">
              <w:rPr>
                <w:sz w:val="22"/>
                <w:szCs w:val="22"/>
                <w:lang w:val="is-IS" w:eastAsia="is-IS"/>
              </w:rPr>
              <w:t>Ef útgefandalýsing hefur að geyma greinargerð eða skýrslu frá sérfræðingi skal tilgreina nafn þessa einstaklings, heimilisfang vinnustaðar, menntun hans, hæfi og hvort hann hafi verulegra hagsmuna að gæta gagnvart útgefandanum. Ef skýrslan er samin að beiðni útgefanda skal gefa yfirlýsingu um að slík yfirlýsing eða skýrsla fylgi, á hvaða formi og í hvaða samhengi hún er, ásamt samþykki þess einstaklings sem hefur heimilað efni þessa hluta útgefandalýsingarinnar.</w:t>
            </w:r>
          </w:p>
        </w:tc>
      </w:tr>
      <w:tr w:rsidR="00DD7BCE" w:rsidRPr="001C333F" w:rsidTr="001C333F">
        <w:tc>
          <w:tcPr>
            <w:tcW w:w="1101" w:type="dxa"/>
          </w:tcPr>
          <w:p w:rsidR="00DD7BCE" w:rsidRPr="001C333F" w:rsidRDefault="00DD7BCE" w:rsidP="00A12814">
            <w:pPr>
              <w:rPr>
                <w:sz w:val="22"/>
                <w:szCs w:val="22"/>
                <w:lang w:val="is-IS"/>
              </w:rPr>
            </w:pPr>
          </w:p>
        </w:tc>
        <w:tc>
          <w:tcPr>
            <w:tcW w:w="850" w:type="dxa"/>
          </w:tcPr>
          <w:p w:rsidR="00DD7BCE" w:rsidRPr="001C333F" w:rsidRDefault="00DD7BCE" w:rsidP="00A12814">
            <w:pPr>
              <w:rPr>
                <w:b/>
                <w:sz w:val="22"/>
                <w:szCs w:val="22"/>
                <w:lang w:val="is-IS"/>
              </w:rPr>
            </w:pPr>
            <w:r w:rsidRPr="001C333F">
              <w:rPr>
                <w:b/>
                <w:sz w:val="22"/>
                <w:szCs w:val="22"/>
                <w:lang w:val="is-IS"/>
              </w:rPr>
              <w:t>16.2.</w:t>
            </w:r>
          </w:p>
        </w:tc>
        <w:tc>
          <w:tcPr>
            <w:tcW w:w="7697" w:type="dxa"/>
            <w:vAlign w:val="center"/>
          </w:tcPr>
          <w:p w:rsidR="00DD7BCE" w:rsidRPr="001C333F" w:rsidRDefault="001137B0" w:rsidP="001137B0">
            <w:pPr>
              <w:autoSpaceDE w:val="0"/>
              <w:autoSpaceDN w:val="0"/>
              <w:adjustRightInd w:val="0"/>
              <w:rPr>
                <w:sz w:val="22"/>
                <w:szCs w:val="22"/>
                <w:lang w:val="is-IS" w:eastAsia="is-IS"/>
              </w:rPr>
            </w:pPr>
            <w:r w:rsidRPr="001C333F">
              <w:rPr>
                <w:sz w:val="22"/>
                <w:szCs w:val="22"/>
                <w:lang w:val="is-IS" w:eastAsia="is-IS"/>
              </w:rPr>
              <w:t>Ef upplýsingar eru fengnar frá þriðja aðila skal útgefandi, að svo miklu leyti sem honum er kunnugt um og honum er unnt, út frá þeim upplýsingum sem þriðji aðilinn hefur birt, láta í té staðfestingu þess efnis að upplýsingarnar séu réttar og að engum staðreyndum sé sleppt sem geri upplýsingarnar ónákvæmar eða misvísandi. Þar að auki skal tilgreina uppruna upplýsinganna.</w:t>
            </w:r>
          </w:p>
        </w:tc>
      </w:tr>
      <w:tr w:rsidR="001137B0" w:rsidRPr="001C333F" w:rsidTr="001C333F">
        <w:tc>
          <w:tcPr>
            <w:tcW w:w="1101" w:type="dxa"/>
          </w:tcPr>
          <w:p w:rsidR="001137B0" w:rsidRPr="001C333F" w:rsidRDefault="001137B0" w:rsidP="00A12814">
            <w:pPr>
              <w:rPr>
                <w:sz w:val="22"/>
                <w:szCs w:val="22"/>
                <w:lang w:val="is-IS"/>
              </w:rPr>
            </w:pPr>
          </w:p>
        </w:tc>
        <w:tc>
          <w:tcPr>
            <w:tcW w:w="850" w:type="dxa"/>
          </w:tcPr>
          <w:p w:rsidR="001137B0" w:rsidRPr="001C333F" w:rsidRDefault="001137B0" w:rsidP="00A12814">
            <w:pPr>
              <w:rPr>
                <w:b/>
                <w:sz w:val="22"/>
                <w:szCs w:val="22"/>
                <w:lang w:val="is-IS"/>
              </w:rPr>
            </w:pPr>
            <w:r w:rsidRPr="001C333F">
              <w:rPr>
                <w:b/>
                <w:sz w:val="22"/>
                <w:szCs w:val="22"/>
                <w:lang w:val="is-IS"/>
              </w:rPr>
              <w:t>17.</w:t>
            </w:r>
          </w:p>
        </w:tc>
        <w:tc>
          <w:tcPr>
            <w:tcW w:w="7697" w:type="dxa"/>
            <w:vAlign w:val="center"/>
          </w:tcPr>
          <w:p w:rsidR="001137B0" w:rsidRPr="001C333F" w:rsidRDefault="001137B0" w:rsidP="009C0ABD">
            <w:pPr>
              <w:autoSpaceDE w:val="0"/>
              <w:autoSpaceDN w:val="0"/>
              <w:adjustRightInd w:val="0"/>
              <w:rPr>
                <w:b/>
                <w:bCs/>
                <w:sz w:val="22"/>
                <w:szCs w:val="22"/>
                <w:lang w:val="is-IS" w:eastAsia="is-IS"/>
              </w:rPr>
            </w:pPr>
            <w:r w:rsidRPr="001C333F">
              <w:rPr>
                <w:b/>
                <w:bCs/>
                <w:sz w:val="22"/>
                <w:szCs w:val="22"/>
                <w:lang w:val="is-IS" w:eastAsia="is-IS"/>
              </w:rPr>
              <w:t>SKJÖL TIL SÝNIS</w:t>
            </w:r>
          </w:p>
          <w:p w:rsidR="001137B0" w:rsidRPr="001C333F" w:rsidRDefault="001137B0" w:rsidP="009C0ABD">
            <w:pPr>
              <w:autoSpaceDE w:val="0"/>
              <w:autoSpaceDN w:val="0"/>
              <w:adjustRightInd w:val="0"/>
              <w:rPr>
                <w:b/>
                <w:bCs/>
                <w:sz w:val="22"/>
                <w:szCs w:val="22"/>
                <w:lang w:val="is-IS" w:eastAsia="is-IS"/>
              </w:rPr>
            </w:pPr>
          </w:p>
          <w:p w:rsidR="001137B0" w:rsidRDefault="001137B0" w:rsidP="001137B0">
            <w:pPr>
              <w:autoSpaceDE w:val="0"/>
              <w:autoSpaceDN w:val="0"/>
              <w:adjustRightInd w:val="0"/>
              <w:rPr>
                <w:sz w:val="22"/>
                <w:szCs w:val="22"/>
                <w:lang w:val="is-IS" w:eastAsia="is-IS"/>
              </w:rPr>
            </w:pPr>
            <w:r w:rsidRPr="001C333F">
              <w:rPr>
                <w:sz w:val="22"/>
                <w:szCs w:val="22"/>
                <w:lang w:val="is-IS" w:eastAsia="is-IS"/>
              </w:rPr>
              <w:t>Yfirlýsing þess efnis að á meðan útgefandalýsing er í gildi er heimilt, eftir atvikum, að skoða eftirfarandi skjöl (eða afrit þeirra):</w:t>
            </w:r>
          </w:p>
          <w:p w:rsidR="00380850" w:rsidRPr="001C333F" w:rsidRDefault="00380850" w:rsidP="001137B0">
            <w:pPr>
              <w:autoSpaceDE w:val="0"/>
              <w:autoSpaceDN w:val="0"/>
              <w:adjustRightInd w:val="0"/>
              <w:rPr>
                <w:sz w:val="22"/>
                <w:szCs w:val="22"/>
                <w:lang w:val="is-IS" w:eastAsia="is-IS"/>
              </w:rPr>
            </w:pPr>
          </w:p>
          <w:p w:rsidR="001137B0" w:rsidRDefault="001137B0" w:rsidP="001137B0">
            <w:pPr>
              <w:pStyle w:val="ListParagraph"/>
              <w:numPr>
                <w:ilvl w:val="0"/>
                <w:numId w:val="5"/>
              </w:numPr>
              <w:autoSpaceDE w:val="0"/>
              <w:autoSpaceDN w:val="0"/>
              <w:adjustRightInd w:val="0"/>
              <w:rPr>
                <w:sz w:val="22"/>
                <w:szCs w:val="22"/>
                <w:lang w:val="is-IS" w:eastAsia="is-IS"/>
              </w:rPr>
            </w:pPr>
            <w:r w:rsidRPr="001C333F">
              <w:rPr>
                <w:sz w:val="22"/>
                <w:szCs w:val="22"/>
                <w:lang w:val="is-IS" w:eastAsia="is-IS"/>
              </w:rPr>
              <w:t>Stofnsamningur og samþykktir útgefanda,</w:t>
            </w:r>
          </w:p>
          <w:p w:rsidR="001C333F" w:rsidRPr="001C333F" w:rsidRDefault="001C333F" w:rsidP="001C333F">
            <w:pPr>
              <w:pStyle w:val="ListParagraph"/>
              <w:autoSpaceDE w:val="0"/>
              <w:autoSpaceDN w:val="0"/>
              <w:adjustRightInd w:val="0"/>
              <w:rPr>
                <w:sz w:val="22"/>
                <w:szCs w:val="22"/>
                <w:lang w:val="is-IS" w:eastAsia="is-IS"/>
              </w:rPr>
            </w:pPr>
          </w:p>
          <w:p w:rsidR="001137B0" w:rsidRDefault="001137B0" w:rsidP="001137B0">
            <w:pPr>
              <w:pStyle w:val="ListParagraph"/>
              <w:numPr>
                <w:ilvl w:val="0"/>
                <w:numId w:val="5"/>
              </w:numPr>
              <w:autoSpaceDE w:val="0"/>
              <w:autoSpaceDN w:val="0"/>
              <w:adjustRightInd w:val="0"/>
              <w:rPr>
                <w:sz w:val="22"/>
                <w:szCs w:val="22"/>
                <w:lang w:val="is-IS" w:eastAsia="is-IS"/>
              </w:rPr>
            </w:pPr>
            <w:r w:rsidRPr="001C333F">
              <w:rPr>
                <w:sz w:val="22"/>
                <w:szCs w:val="22"/>
                <w:lang w:val="is-IS" w:eastAsia="is-IS"/>
              </w:rPr>
              <w:t>allar skýrslur, bréf og önnur skjöl, sögulegar fjárhagsupplýsingar, mats- og greinargerðir samdar af sérfræðingum að beiðni útgefanda sem að öllu leyti eða að hluta til eru felldar inn í eða vísað til í útgefandalýsingu,</w:t>
            </w:r>
          </w:p>
          <w:p w:rsidR="001C333F" w:rsidRPr="001C333F" w:rsidRDefault="001C333F" w:rsidP="001C333F">
            <w:pPr>
              <w:pStyle w:val="ListParagraph"/>
              <w:rPr>
                <w:sz w:val="22"/>
                <w:szCs w:val="22"/>
                <w:lang w:val="is-IS" w:eastAsia="is-IS"/>
              </w:rPr>
            </w:pPr>
          </w:p>
          <w:p w:rsidR="001137B0" w:rsidRPr="001C333F" w:rsidRDefault="001137B0" w:rsidP="001137B0">
            <w:pPr>
              <w:pStyle w:val="ListParagraph"/>
              <w:numPr>
                <w:ilvl w:val="0"/>
                <w:numId w:val="5"/>
              </w:numPr>
              <w:autoSpaceDE w:val="0"/>
              <w:autoSpaceDN w:val="0"/>
              <w:adjustRightInd w:val="0"/>
              <w:rPr>
                <w:sz w:val="22"/>
                <w:szCs w:val="22"/>
                <w:lang w:val="is-IS" w:eastAsia="is-IS"/>
              </w:rPr>
            </w:pPr>
            <w:r w:rsidRPr="001C333F">
              <w:rPr>
                <w:sz w:val="22"/>
                <w:szCs w:val="22"/>
                <w:lang w:val="is-IS" w:eastAsia="is-IS"/>
              </w:rPr>
              <w:t>sögulegar fjárhagsupplýsingar útgefanda eða, ef um er að ræða samstæðu, sögulegar fjárhagsupplýsingar útgefanda og dótturfyrirtækja hans fyrir hvort hinna tveggja síðustu fjárhagsára um sig áður en útgefandalýsing er birt.</w:t>
            </w:r>
          </w:p>
          <w:p w:rsidR="001137B0" w:rsidRPr="001C333F" w:rsidRDefault="001137B0" w:rsidP="001137B0">
            <w:pPr>
              <w:autoSpaceDE w:val="0"/>
              <w:autoSpaceDN w:val="0"/>
              <w:adjustRightInd w:val="0"/>
              <w:rPr>
                <w:sz w:val="22"/>
                <w:szCs w:val="22"/>
                <w:lang w:val="is-IS" w:eastAsia="is-IS"/>
              </w:rPr>
            </w:pPr>
          </w:p>
          <w:p w:rsidR="001137B0" w:rsidRPr="001C333F" w:rsidRDefault="001137B0" w:rsidP="001137B0">
            <w:pPr>
              <w:autoSpaceDE w:val="0"/>
              <w:autoSpaceDN w:val="0"/>
              <w:adjustRightInd w:val="0"/>
              <w:rPr>
                <w:sz w:val="22"/>
                <w:szCs w:val="22"/>
                <w:lang w:val="is-IS" w:eastAsia="is-IS"/>
              </w:rPr>
            </w:pPr>
            <w:r w:rsidRPr="001C333F">
              <w:rPr>
                <w:sz w:val="22"/>
                <w:szCs w:val="22"/>
                <w:lang w:val="is-IS" w:eastAsia="is-IS"/>
              </w:rPr>
              <w:t>Veita skal upplýsingar um hvar unnt sé að skoða skjölin, sem eru til sýnis, á pappírsformi eða á rafrænu formi.</w:t>
            </w:r>
          </w:p>
        </w:tc>
      </w:tr>
    </w:tbl>
    <w:p w:rsidR="001C48A2" w:rsidRPr="00A12814" w:rsidRDefault="001C48A2" w:rsidP="00A12814">
      <w:pPr>
        <w:ind w:left="-180" w:firstLine="180"/>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AF" w:rsidRDefault="006D30AF">
      <w:r>
        <w:separator/>
      </w:r>
    </w:p>
  </w:endnote>
  <w:endnote w:type="continuationSeparator" w:id="0">
    <w:p w:rsidR="006D30AF" w:rsidRDefault="006D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AF" w:rsidRDefault="006D30AF" w:rsidP="007B7AF3">
    <w:pPr>
      <w:pStyle w:val="Footer"/>
      <w:jc w:val="center"/>
      <w:rPr>
        <w:sz w:val="20"/>
        <w:szCs w:val="20"/>
      </w:rPr>
    </w:pPr>
  </w:p>
  <w:p w:rsidR="006D30AF" w:rsidRPr="007B7AF3" w:rsidRDefault="006D30AF"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DE75BF">
      <w:rPr>
        <w:noProof/>
        <w:sz w:val="20"/>
        <w:szCs w:val="20"/>
      </w:rPr>
      <w:t>1</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AF" w:rsidRDefault="006D30AF"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AF" w:rsidRDefault="006D30AF">
      <w:r>
        <w:separator/>
      </w:r>
    </w:p>
  </w:footnote>
  <w:footnote w:type="continuationSeparator" w:id="0">
    <w:p w:rsidR="006D30AF" w:rsidRDefault="006D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AF" w:rsidRPr="007A3D9E" w:rsidRDefault="006D30AF"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5E24BDE2" wp14:editId="42957CE4">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sidRPr="007A3D9E">
      <w:rPr>
        <w:sz w:val="16"/>
        <w:szCs w:val="16"/>
        <w:lang w:val="is-IS"/>
      </w:rPr>
      <w:tab/>
    </w:r>
    <w:r w:rsidRPr="007A3D9E">
      <w:rPr>
        <w:sz w:val="16"/>
        <w:szCs w:val="16"/>
        <w:lang w:val="is-IS"/>
      </w:rPr>
      <w:tab/>
      <w:t>I</w:t>
    </w:r>
    <w:r>
      <w:rPr>
        <w:sz w:val="16"/>
        <w:szCs w:val="16"/>
        <w:lang w:val="is-IS"/>
      </w:rPr>
      <w:t>V</w:t>
    </w:r>
    <w:r w:rsidRPr="007A3D9E">
      <w:rPr>
        <w:sz w:val="16"/>
        <w:szCs w:val="16"/>
        <w:lang w:val="is-IS"/>
      </w:rPr>
      <w:t>. Viðauki</w:t>
    </w:r>
  </w:p>
  <w:p w:rsidR="006D30AF" w:rsidRPr="007A3D9E" w:rsidRDefault="006D30AF" w:rsidP="00C00631">
    <w:pPr>
      <w:pStyle w:val="Header"/>
      <w:rPr>
        <w:sz w:val="16"/>
        <w:szCs w:val="16"/>
        <w:lang w:val="is-IS"/>
      </w:rPr>
    </w:pPr>
    <w:r w:rsidRPr="007A3D9E">
      <w:rPr>
        <w:sz w:val="16"/>
        <w:szCs w:val="16"/>
        <w:lang w:val="is-IS"/>
      </w:rPr>
      <w:t>Útgefandalýsing, X. drög</w:t>
    </w:r>
  </w:p>
  <w:p w:rsidR="006D30AF" w:rsidRPr="007A3D9E" w:rsidRDefault="006D30AF"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AF" w:rsidRPr="002B0E36" w:rsidRDefault="006D30AF"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36D2A"/>
    <w:rsid w:val="000A34D8"/>
    <w:rsid w:val="001137B0"/>
    <w:rsid w:val="00126874"/>
    <w:rsid w:val="001349AB"/>
    <w:rsid w:val="001A10A9"/>
    <w:rsid w:val="001A17F0"/>
    <w:rsid w:val="001C333F"/>
    <w:rsid w:val="001C48A2"/>
    <w:rsid w:val="001D2568"/>
    <w:rsid w:val="00221654"/>
    <w:rsid w:val="00227162"/>
    <w:rsid w:val="002735BC"/>
    <w:rsid w:val="00292001"/>
    <w:rsid w:val="002B0E36"/>
    <w:rsid w:val="003175D5"/>
    <w:rsid w:val="0032318D"/>
    <w:rsid w:val="003665B6"/>
    <w:rsid w:val="00380850"/>
    <w:rsid w:val="004562C7"/>
    <w:rsid w:val="0048355D"/>
    <w:rsid w:val="00562EE2"/>
    <w:rsid w:val="0057427A"/>
    <w:rsid w:val="00612D48"/>
    <w:rsid w:val="006C38A4"/>
    <w:rsid w:val="006D30AF"/>
    <w:rsid w:val="00760B9F"/>
    <w:rsid w:val="007952D1"/>
    <w:rsid w:val="007A3D9E"/>
    <w:rsid w:val="007B7AF3"/>
    <w:rsid w:val="00815DA0"/>
    <w:rsid w:val="0084135F"/>
    <w:rsid w:val="00841558"/>
    <w:rsid w:val="00862F31"/>
    <w:rsid w:val="008969AD"/>
    <w:rsid w:val="008A365F"/>
    <w:rsid w:val="008F5D1B"/>
    <w:rsid w:val="009247E4"/>
    <w:rsid w:val="00956A8D"/>
    <w:rsid w:val="009C0ABD"/>
    <w:rsid w:val="009D3138"/>
    <w:rsid w:val="009F3FB6"/>
    <w:rsid w:val="00A12814"/>
    <w:rsid w:val="00A50B13"/>
    <w:rsid w:val="00A8391C"/>
    <w:rsid w:val="00AB6DAD"/>
    <w:rsid w:val="00B73895"/>
    <w:rsid w:val="00BD75B7"/>
    <w:rsid w:val="00C00631"/>
    <w:rsid w:val="00C83FBB"/>
    <w:rsid w:val="00C91AE9"/>
    <w:rsid w:val="00C97109"/>
    <w:rsid w:val="00D152D6"/>
    <w:rsid w:val="00D23CF1"/>
    <w:rsid w:val="00DD7BCE"/>
    <w:rsid w:val="00DE75BF"/>
    <w:rsid w:val="00E2426E"/>
    <w:rsid w:val="00E36869"/>
    <w:rsid w:val="00E45794"/>
    <w:rsid w:val="00E640FD"/>
    <w:rsid w:val="00E80D4B"/>
    <w:rsid w:val="00F207F2"/>
    <w:rsid w:val="00F2171A"/>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FABE-34D1-45A5-91FC-D6E6F634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2284</Words>
  <Characters>14188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lastModifiedBy>Greipur Þ. Júlíusson</cp:lastModifiedBy>
  <cp:revision>2</cp:revision>
  <cp:lastPrinted>2011-12-16T14:59:00Z</cp:lastPrinted>
  <dcterms:created xsi:type="dcterms:W3CDTF">2011-12-19T11:41:00Z</dcterms:created>
  <dcterms:modified xsi:type="dcterms:W3CDTF">2013-11-06T08:32:00Z</dcterms:modified>
</cp:coreProperties>
</file>