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D7" w:rsidRPr="0025786C" w:rsidRDefault="00D33DD7" w:rsidP="00D33DD7">
      <w:pPr>
        <w:ind w:left="-360"/>
        <w:rPr>
          <w:b/>
          <w:sz w:val="22"/>
          <w:szCs w:val="22"/>
          <w:lang w:val="is-IS" w:eastAsia="en-US"/>
        </w:rPr>
      </w:pPr>
      <w:r w:rsidRPr="0025786C">
        <w:rPr>
          <w:b/>
          <w:sz w:val="22"/>
          <w:szCs w:val="22"/>
          <w:lang w:val="is-IS"/>
        </w:rPr>
        <w:t>III. VIÐAUKI – REGLUGERÐ FRAMKVÆMDASTJÓRNARINNAR (EB) nr. 809/2004 frá 29. apríl 2004</w:t>
      </w:r>
    </w:p>
    <w:p w:rsidR="00D33DD7" w:rsidRPr="0025786C" w:rsidRDefault="00D33DD7" w:rsidP="00D33DD7">
      <w:pPr>
        <w:ind w:left="-360"/>
        <w:rPr>
          <w:b/>
          <w:color w:val="000000"/>
          <w:sz w:val="22"/>
          <w:szCs w:val="22"/>
          <w:lang w:val="is-IS" w:eastAsia="is-IS"/>
        </w:rPr>
      </w:pPr>
    </w:p>
    <w:p w:rsidR="00D33DD7" w:rsidRPr="0025786C" w:rsidRDefault="00D33DD7" w:rsidP="00D33DD7">
      <w:pPr>
        <w:ind w:left="-360"/>
        <w:rPr>
          <w:b/>
          <w:color w:val="000000"/>
          <w:sz w:val="22"/>
          <w:szCs w:val="22"/>
          <w:lang w:val="is-IS" w:eastAsia="is-IS"/>
        </w:rPr>
      </w:pPr>
      <w:r w:rsidRPr="0025786C">
        <w:rPr>
          <w:b/>
          <w:color w:val="000000"/>
          <w:sz w:val="22"/>
          <w:szCs w:val="22"/>
          <w:lang w:val="is-IS" w:eastAsia="is-IS"/>
        </w:rPr>
        <w:t>Sbr. tilgreint í 2. mgr. regl. nr. 243/2006:</w:t>
      </w:r>
    </w:p>
    <w:p w:rsidR="00D33DD7" w:rsidRPr="0025786C" w:rsidRDefault="00D33DD7" w:rsidP="00D33DD7">
      <w:pPr>
        <w:ind w:left="-360"/>
        <w:rPr>
          <w:b/>
          <w:i/>
          <w:color w:val="000000"/>
          <w:sz w:val="22"/>
          <w:szCs w:val="22"/>
          <w:lang w:val="is-IS" w:eastAsia="is-IS"/>
        </w:rPr>
      </w:pPr>
      <w:r w:rsidRPr="0025786C">
        <w:rPr>
          <w:b/>
          <w:i/>
          <w:color w:val="000000"/>
          <w:sz w:val="22"/>
          <w:szCs w:val="22"/>
          <w:lang w:val="is-IS" w:eastAsia="is-IS"/>
        </w:rPr>
        <w:t>Ef ósamræmi er á milli íslensks og ensks texta reglugerðar framkvæmdastjórnarinnar nr. 809/2004 skal skýra íslenska textann með hliðsjón af enska textanum.</w:t>
      </w:r>
    </w:p>
    <w:p w:rsidR="00D33DD7" w:rsidRPr="0025786C" w:rsidRDefault="00D33DD7" w:rsidP="00D33DD7">
      <w:pPr>
        <w:ind w:left="-360"/>
        <w:rPr>
          <w:b/>
          <w:color w:val="000000"/>
          <w:sz w:val="22"/>
          <w:szCs w:val="22"/>
          <w:lang w:val="is-IS" w:eastAsia="is-IS"/>
        </w:rPr>
      </w:pPr>
    </w:p>
    <w:p w:rsidR="00D33DD7" w:rsidRPr="0025786C" w:rsidRDefault="00D33DD7" w:rsidP="00D33DD7">
      <w:pPr>
        <w:ind w:left="-360"/>
        <w:rPr>
          <w:b/>
          <w:sz w:val="22"/>
          <w:szCs w:val="22"/>
          <w:lang w:val="is-IS"/>
        </w:rPr>
      </w:pPr>
      <w:r w:rsidRPr="0025786C">
        <w:rPr>
          <w:b/>
          <w:sz w:val="22"/>
          <w:szCs w:val="22"/>
          <w:lang w:val="is-IS"/>
        </w:rPr>
        <w:t>Ef ósamræmi er á milli textans í þessu skjali og texta reglugerðar framkvæmdastjórnarinnar nr. 809/2004 er það texti reglugerðarinnar sem gildir.</w:t>
      </w:r>
    </w:p>
    <w:p w:rsidR="00D33DD7" w:rsidRPr="0025786C" w:rsidRDefault="00D33DD7" w:rsidP="00D33DD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  <w:lang w:val="is-IS" w:eastAsia="is-IS"/>
        </w:rPr>
      </w:pPr>
      <w:bookmarkStart w:id="0" w:name="_GoBack"/>
      <w:bookmarkEnd w:id="0"/>
    </w:p>
    <w:p w:rsidR="00D33DD7" w:rsidRPr="0025786C" w:rsidRDefault="00D33DD7" w:rsidP="00D33DD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  <w:lang w:val="is-IS" w:eastAsia="is-IS"/>
        </w:rPr>
      </w:pPr>
    </w:p>
    <w:p w:rsidR="00D33DD7" w:rsidRPr="0025786C" w:rsidRDefault="00D33DD7" w:rsidP="00D33DD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  <w:lang w:val="is-IS" w:eastAsia="is-IS"/>
        </w:rPr>
      </w:pPr>
      <w:r w:rsidRPr="0025786C">
        <w:rPr>
          <w:rFonts w:ascii="TimesNewRoman,Bold" w:hAnsi="TimesNewRoman,Bold" w:cs="TimesNewRoman,Bold"/>
          <w:b/>
          <w:bCs/>
          <w:sz w:val="22"/>
          <w:szCs w:val="22"/>
          <w:lang w:val="is-IS" w:eastAsia="is-IS"/>
        </w:rPr>
        <w:t>III. VIÐAUKI</w:t>
      </w:r>
    </w:p>
    <w:p w:rsidR="00D33DD7" w:rsidRPr="0025786C" w:rsidRDefault="00D33DD7" w:rsidP="00D33DD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  <w:lang w:val="is-IS" w:eastAsia="is-IS"/>
        </w:rPr>
      </w:pPr>
    </w:p>
    <w:p w:rsidR="00D33DD7" w:rsidRPr="0025786C" w:rsidRDefault="00D33DD7" w:rsidP="00D33DD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  <w:lang w:val="is-IS" w:eastAsia="is-IS"/>
        </w:rPr>
      </w:pPr>
      <w:r w:rsidRPr="0025786C">
        <w:rPr>
          <w:rFonts w:ascii="TimesNewRoman,Bold" w:hAnsi="TimesNewRoman,Bold" w:cs="TimesNewRoman,Bold"/>
          <w:b/>
          <w:bCs/>
          <w:sz w:val="22"/>
          <w:szCs w:val="22"/>
          <w:lang w:val="is-IS" w:eastAsia="is-IS"/>
        </w:rPr>
        <w:t>Lágmarkskröfur um upplýsingar sem koma eiga fram í verðbréfalýsingu fyrir hluti (grunnskjali)</w:t>
      </w:r>
    </w:p>
    <w:p w:rsidR="00126874" w:rsidRDefault="00126874">
      <w:pPr>
        <w:rPr>
          <w:lang w:val="is-IS"/>
        </w:rPr>
      </w:pPr>
    </w:p>
    <w:p w:rsidR="00D33DD7" w:rsidRDefault="00D33DD7">
      <w:pPr>
        <w:rPr>
          <w:lang w:val="is-IS"/>
        </w:rPr>
      </w:pPr>
    </w:p>
    <w:tbl>
      <w:tblPr>
        <w:tblStyle w:val="TableGrid"/>
        <w:tblW w:w="9540" w:type="dxa"/>
        <w:tblInd w:w="-7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31"/>
        <w:gridCol w:w="850"/>
        <w:gridCol w:w="7659"/>
      </w:tblGrid>
      <w:tr w:rsidR="0025786C" w:rsidRPr="0025786C" w:rsidTr="0025786C">
        <w:trPr>
          <w:trHeight w:val="358"/>
        </w:trPr>
        <w:tc>
          <w:tcPr>
            <w:tcW w:w="1031" w:type="dxa"/>
            <w:vAlign w:val="center"/>
          </w:tcPr>
          <w:p w:rsidR="0025786C" w:rsidRPr="009C0ABD" w:rsidRDefault="0025786C" w:rsidP="0025786C">
            <w:pPr>
              <w:rPr>
                <w:b/>
                <w:color w:val="FF0000"/>
                <w:sz w:val="22"/>
                <w:szCs w:val="22"/>
                <w:lang w:val="is-IS"/>
              </w:rPr>
            </w:pPr>
            <w:r>
              <w:rPr>
                <w:b/>
                <w:color w:val="FF0000"/>
                <w:sz w:val="22"/>
                <w:szCs w:val="22"/>
                <w:lang w:val="is-IS"/>
              </w:rPr>
              <w:t>Bls</w:t>
            </w:r>
            <w:r>
              <w:rPr>
                <w:b/>
                <w:color w:val="FF0000"/>
                <w:sz w:val="22"/>
                <w:szCs w:val="22"/>
                <w:lang w:val="is-IS"/>
              </w:rPr>
              <w:t>.</w:t>
            </w:r>
          </w:p>
        </w:tc>
        <w:tc>
          <w:tcPr>
            <w:tcW w:w="850" w:type="dxa"/>
            <w:vAlign w:val="center"/>
          </w:tcPr>
          <w:p w:rsidR="0025786C" w:rsidRPr="009C0ABD" w:rsidRDefault="0025786C" w:rsidP="0061041F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Liður</w:t>
            </w:r>
          </w:p>
        </w:tc>
        <w:tc>
          <w:tcPr>
            <w:tcW w:w="7659" w:type="dxa"/>
            <w:vAlign w:val="center"/>
          </w:tcPr>
          <w:p w:rsidR="0025786C" w:rsidRPr="00350549" w:rsidRDefault="0025786C" w:rsidP="006104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Efni</w:t>
            </w:r>
          </w:p>
        </w:tc>
      </w:tr>
      <w:tr w:rsidR="00D33DD7" w:rsidRPr="0025786C" w:rsidTr="0025786C">
        <w:trPr>
          <w:trHeight w:val="358"/>
        </w:trPr>
        <w:tc>
          <w:tcPr>
            <w:tcW w:w="1031" w:type="dxa"/>
          </w:tcPr>
          <w:p w:rsidR="00D33DD7" w:rsidRPr="0025786C" w:rsidRDefault="00D33DD7">
            <w:pPr>
              <w:rPr>
                <w:b/>
                <w:color w:val="FF0000"/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1.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F34B70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  <w:t>ÁBYRGIR AÐILAR</w:t>
            </w:r>
          </w:p>
        </w:tc>
      </w:tr>
      <w:tr w:rsidR="00D33DD7" w:rsidRPr="0025786C" w:rsidTr="0025786C">
        <w:trPr>
          <w:trHeight w:val="1350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1.1.</w:t>
            </w:r>
          </w:p>
        </w:tc>
        <w:tc>
          <w:tcPr>
            <w:tcW w:w="7659" w:type="dxa"/>
            <w:vAlign w:val="center"/>
          </w:tcPr>
          <w:p w:rsidR="00F34B70" w:rsidRDefault="00F34B70" w:rsidP="00DE7E0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Tilgreina skal alla aðila sem eru ábyrgir fyrir upplýsingum í lýsingunni, og, eftir atvikum, fyrir tilteknum hlutumhennar og í því tilviki skal tilgreina þá hluta sem þeir eru ábyrgir fyrir. Ef um er að ræða einstaklinga, þ.m.t.</w:t>
            </w:r>
            <w:r w:rsidR="00DE7E01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aðilar að stjórn, framkvæmdastjórn eða eftirlitsstjórn útgefandans, skulu þeir tilgreindir með nafni og stöðuheiti.</w:t>
            </w:r>
          </w:p>
          <w:p w:rsidR="0025786C" w:rsidRPr="0025786C" w:rsidRDefault="0025786C" w:rsidP="00DE7E0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D33DD7" w:rsidRPr="0025786C" w:rsidRDefault="00F34B70" w:rsidP="00DE7E0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Ef um er að ræða lögaðila skal tilgreina nafn þeirra og skráða skrifstofu.</w:t>
            </w:r>
          </w:p>
        </w:tc>
      </w:tr>
      <w:tr w:rsidR="00D33DD7" w:rsidRPr="0025786C" w:rsidTr="0025786C">
        <w:trPr>
          <w:trHeight w:val="1792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1.2.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DE7E0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Yfirlýsing frá þeim sem eru ábyrgir fyrir lýsingunni þess efnis að samkvæmt þeirra bestu vitund séu</w:t>
            </w:r>
            <w:r w:rsidR="00DE7E01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upplýsingarnar, sem lýsingin hefur að geyma, í samræmi við staðreyndir og að engum upplýsingum sé sleppt sem</w:t>
            </w:r>
            <w:r w:rsidR="00DE7E01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kunna að skipta máli varðandi áreiðanleika hennar. Eftir atvikum, yfirlýsing frá þeim sem eru ábyrgir fyrir</w:t>
            </w:r>
            <w:r w:rsidR="00DE7E01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tilteknum hlutum lýsingarinnar þess efnis að samkvæmt þeirra bestu vitund séu upplýsingarnar, sem er að finna í</w:t>
            </w:r>
            <w:r w:rsidR="00DE7E01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þeim hluta lýsingarinnar sem þeir eru ábyrgir fyrir, í samræmi við staðreyndir og að engum upplýsingum sé</w:t>
            </w:r>
            <w:r w:rsidR="00DE7E01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sleppt sem kunna að skipta máli varðandi áreiðanleika hans.</w:t>
            </w:r>
          </w:p>
        </w:tc>
      </w:tr>
      <w:tr w:rsidR="00D33DD7" w:rsidRPr="0025786C" w:rsidTr="0025786C">
        <w:trPr>
          <w:trHeight w:val="83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2.</w:t>
            </w:r>
          </w:p>
        </w:tc>
        <w:tc>
          <w:tcPr>
            <w:tcW w:w="7659" w:type="dxa"/>
            <w:vAlign w:val="center"/>
          </w:tcPr>
          <w:p w:rsidR="00F34B70" w:rsidRPr="0025786C" w:rsidRDefault="00F34B70" w:rsidP="00F34B70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  <w:t>ÁHÆTTUÞÆTTIR</w:t>
            </w:r>
          </w:p>
          <w:p w:rsidR="00F34B70" w:rsidRPr="0025786C" w:rsidRDefault="00F34B70" w:rsidP="00F34B7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D33DD7" w:rsidRPr="0025786C" w:rsidRDefault="00F34B70" w:rsidP="00DE7E0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Upplýsingar um áhættuþætti sem skipta máli fyrir verðbréfin sem eru boðin til kaups eða skráð á markað svo</w:t>
            </w:r>
            <w:r w:rsidR="00DE7E01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meta megi markaðsáhættuna sem tengist þeim skulu birtar á áberandi stað í kafla sem ber yfirskriftina</w:t>
            </w:r>
            <w:r w:rsidR="00DE7E01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„Áhættuþættir“.</w:t>
            </w:r>
          </w:p>
        </w:tc>
      </w:tr>
      <w:tr w:rsidR="00D33DD7" w:rsidRPr="0025786C" w:rsidTr="0025786C">
        <w:trPr>
          <w:trHeight w:val="348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3.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AB5C84">
            <w:pPr>
              <w:rPr>
                <w:sz w:val="22"/>
                <w:szCs w:val="22"/>
                <w:lang w:val="is-IS"/>
              </w:rPr>
            </w:pPr>
            <w:r w:rsidRPr="0025786C"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  <w:t>HELSTU UPPLÝSINGAR</w:t>
            </w:r>
          </w:p>
        </w:tc>
      </w:tr>
      <w:tr w:rsidR="00D33DD7" w:rsidRPr="0025786C" w:rsidTr="0025786C">
        <w:trPr>
          <w:trHeight w:val="1243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3.1.</w:t>
            </w:r>
          </w:p>
        </w:tc>
        <w:tc>
          <w:tcPr>
            <w:tcW w:w="7659" w:type="dxa"/>
            <w:vAlign w:val="center"/>
          </w:tcPr>
          <w:p w:rsidR="00F34B70" w:rsidRPr="0025786C" w:rsidRDefault="00F34B70" w:rsidP="00F34B70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,Italic" w:hAnsi="TimesNewRoman,Italic" w:cs="TimesNewRoman,Italic"/>
                <w:i/>
                <w:iCs/>
                <w:sz w:val="22"/>
                <w:szCs w:val="22"/>
                <w:lang w:val="is-IS" w:eastAsia="is-IS"/>
              </w:rPr>
              <w:t>Yfirlýsing um veltufé</w:t>
            </w:r>
          </w:p>
          <w:p w:rsidR="00F34B70" w:rsidRPr="0025786C" w:rsidRDefault="00F34B70" w:rsidP="00F34B7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D33DD7" w:rsidRPr="0025786C" w:rsidRDefault="00F34B70" w:rsidP="00DE7E0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Yfirlýsing frá útgefanda þess efnis að hann telji að veltufé sé fullnægjandi til að uppfylla núverandi þarfir hans</w:t>
            </w:r>
            <w:r w:rsidR="00DE7E01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eða ef sú er ekki reyndin skal hann gera grein fyrir því hvernig hann hyggist útvega nauðsynlegt viðbótarveltufé.</w:t>
            </w:r>
          </w:p>
        </w:tc>
      </w:tr>
      <w:tr w:rsidR="00D33DD7" w:rsidRPr="0025786C" w:rsidTr="0025786C">
        <w:trPr>
          <w:trHeight w:val="77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3.2.</w:t>
            </w:r>
          </w:p>
        </w:tc>
        <w:tc>
          <w:tcPr>
            <w:tcW w:w="7659" w:type="dxa"/>
            <w:vAlign w:val="center"/>
          </w:tcPr>
          <w:p w:rsidR="00F34B70" w:rsidRPr="0025786C" w:rsidRDefault="00F34B70" w:rsidP="00F34B70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,Italic" w:hAnsi="TimesNewRoman,Italic" w:cs="TimesNewRoman,Italic"/>
                <w:i/>
                <w:iCs/>
                <w:sz w:val="22"/>
                <w:szCs w:val="22"/>
                <w:lang w:val="is-IS" w:eastAsia="is-IS"/>
              </w:rPr>
              <w:t>Fjármögnun og skuldastaða</w:t>
            </w:r>
          </w:p>
          <w:p w:rsidR="00F34B70" w:rsidRPr="0025786C" w:rsidRDefault="00F34B70" w:rsidP="00F34B7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D33DD7" w:rsidRPr="0025786C" w:rsidRDefault="00F34B70" w:rsidP="00DE7E0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Yfirlýsing um fjármögnun og skuldastöðu (þar sem gerður er greinarmunur á milli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lastRenderedPageBreak/>
              <w:t>skulda sem eru með eða án</w:t>
            </w:r>
            <w:r w:rsidR="00DE7E01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ábyrgðar og skulda sem eru tryggðar eða ekki) eigi síðar en 90 dögum fyrir dagsetningu skjalsins. Skuldastaða</w:t>
            </w:r>
            <w:r w:rsidR="00DE7E01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felur einnig í sér óbeinar og óvissar skuldir.</w:t>
            </w:r>
          </w:p>
        </w:tc>
      </w:tr>
      <w:tr w:rsidR="00D33DD7" w:rsidRPr="0025786C" w:rsidTr="0025786C">
        <w:trPr>
          <w:trHeight w:val="743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3.3.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AB5C84">
            <w:pPr>
              <w:rPr>
                <w:rFonts w:ascii="TimesNewRoman,Italic" w:hAnsi="TimesNewRoman,Italic" w:cs="TimesNewRoman,Italic"/>
                <w:i/>
                <w:iCs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,Italic" w:hAnsi="TimesNewRoman,Italic" w:cs="TimesNewRoman,Italic"/>
                <w:i/>
                <w:iCs/>
                <w:sz w:val="22"/>
                <w:szCs w:val="22"/>
                <w:lang w:val="is-IS" w:eastAsia="is-IS"/>
              </w:rPr>
              <w:t>Hagsmunir einstaklinga og lögaðila sem tengjast útgáfunni/útboðinu</w:t>
            </w:r>
          </w:p>
          <w:p w:rsidR="00F34B70" w:rsidRPr="0025786C" w:rsidRDefault="00F34B70" w:rsidP="00AB5C84">
            <w:pPr>
              <w:rPr>
                <w:rFonts w:ascii="TimesNewRoman,Italic" w:hAnsi="TimesNewRoman,Italic" w:cs="TimesNewRoman,Italic"/>
                <w:i/>
                <w:iCs/>
                <w:sz w:val="22"/>
                <w:szCs w:val="22"/>
                <w:lang w:val="is-IS" w:eastAsia="is-IS"/>
              </w:rPr>
            </w:pPr>
          </w:p>
          <w:p w:rsidR="00F34B70" w:rsidRPr="0025786C" w:rsidRDefault="00F34B70" w:rsidP="00DE7E0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Lýsing á hvers kyns hagsmunum, þ.m.t. ósamrýmanlegir hagsmunir sem skipta máli fyrir útgáfu/útboð, ásamt</w:t>
            </w:r>
            <w:r w:rsidR="00DE7E01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ítarlegum upplýsingum um aðila sem hlut eiga að máli og eðli hagsmunanna.</w:t>
            </w:r>
          </w:p>
        </w:tc>
      </w:tr>
      <w:tr w:rsidR="00D33DD7" w:rsidRPr="0025786C" w:rsidTr="0025786C">
        <w:trPr>
          <w:trHeight w:val="1639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3.4.</w:t>
            </w:r>
          </w:p>
        </w:tc>
        <w:tc>
          <w:tcPr>
            <w:tcW w:w="7659" w:type="dxa"/>
            <w:vAlign w:val="center"/>
          </w:tcPr>
          <w:p w:rsidR="00F34B70" w:rsidRPr="0025786C" w:rsidRDefault="00F34B70" w:rsidP="00F34B70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,Italic" w:hAnsi="TimesNewRoman,Italic" w:cs="TimesNewRoman,Italic"/>
                <w:i/>
                <w:iCs/>
                <w:sz w:val="22"/>
                <w:szCs w:val="22"/>
                <w:lang w:val="is-IS" w:eastAsia="is-IS"/>
              </w:rPr>
              <w:t>Ástæður fyrir útboðinu og ráðstöfun söluandvirðis útboðsins (use of proceeds)</w:t>
            </w:r>
          </w:p>
          <w:p w:rsidR="00F34B70" w:rsidRPr="0025786C" w:rsidRDefault="00F34B70" w:rsidP="00F34B7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D33DD7" w:rsidRPr="0025786C" w:rsidRDefault="00F34B70" w:rsidP="003A3562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Ástæður fyrir útboðinu og, eftir atvikum, áætlað nettósöluandvirði sem er sundurliðað og forgangsraðað miðað</w:t>
            </w:r>
            <w:r w:rsidR="003A3562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við fyrirhugaða ráðstöfun þess. Komist útgefandinn að raun um að fyrirhugað söluandvirði verði ekki</w:t>
            </w:r>
            <w:r w:rsidR="003A3562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fullnægjandi til að standa straum af fyrirhugaðri ráðstöfun skal tilgreina fjárhæðina sem upp á vantar og hvaðan</w:t>
            </w:r>
            <w:r w:rsidR="003A3562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sú fjármögnun kemur. Gefa skal ítarlegar upplýsingar um ráðstöfun söluandvirðis vegna útboðsins, einkum þegar</w:t>
            </w:r>
            <w:r w:rsidR="003A3562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það er notað til að kaupa eignir, sem tengjast ekki hefðbundnum rekstri, til að fjármagna tilkynntar yfirtökur</w:t>
            </w:r>
            <w:r w:rsidR="003A3562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annarra fyrirtækja eða til að losa, lækka eða greiða upp skuldir.</w:t>
            </w:r>
          </w:p>
        </w:tc>
      </w:tr>
      <w:tr w:rsidR="00D33DD7" w:rsidRPr="0025786C" w:rsidTr="0025786C">
        <w:trPr>
          <w:trHeight w:val="374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4.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AB5C84">
            <w:pPr>
              <w:rPr>
                <w:sz w:val="22"/>
                <w:szCs w:val="22"/>
                <w:lang w:val="is-IS"/>
              </w:rPr>
            </w:pPr>
            <w:r w:rsidRPr="0025786C"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  <w:t>UPPLÝSINGAR UM VERÐBRÉFIN SEM Á AÐ BJÓÐA/SKRÁ</w:t>
            </w:r>
          </w:p>
        </w:tc>
      </w:tr>
      <w:tr w:rsidR="00D33DD7" w:rsidRPr="0025786C" w:rsidTr="0025786C">
        <w:trPr>
          <w:trHeight w:val="466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4.1.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3A3562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Lýsing á tegund og flokki verðbréfa sem eru boðin til kaups og/eða á að skrá, þ.m.t. ISIN-númer (International</w:t>
            </w:r>
            <w:r w:rsidR="003A3562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Security Identification Number) eða annað slíkt öryggisauðkennisnúmer.</w:t>
            </w:r>
          </w:p>
        </w:tc>
      </w:tr>
      <w:tr w:rsidR="00D33DD7" w:rsidRPr="0025786C" w:rsidTr="0025786C">
        <w:trPr>
          <w:trHeight w:val="28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4.2.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AB5C84">
            <w:pPr>
              <w:rPr>
                <w:sz w:val="22"/>
                <w:szCs w:val="22"/>
                <w:lang w:val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Upplýsingar um löggjöfina sem verðbréfin eru gefin út í samræmi við.</w:t>
            </w:r>
          </w:p>
        </w:tc>
      </w:tr>
      <w:tr w:rsidR="00D33DD7" w:rsidRPr="0025786C" w:rsidTr="0025786C">
        <w:trPr>
          <w:trHeight w:val="200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4.3.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3A3562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Upplýsingar um hvort verðbréfin eru nafnbréf eða handhafabréf og hvort þau eru í skírteinisformi (certificated</w:t>
            </w:r>
            <w:r w:rsidR="003A3562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form) eða rafrænt skráð (book-entry form). Í síðara tilvikinu skal tilgreina nafn og heimilisfang aðilans sem sér</w:t>
            </w:r>
            <w:r w:rsidR="003A3562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um skráninguna.</w:t>
            </w:r>
          </w:p>
        </w:tc>
      </w:tr>
      <w:tr w:rsidR="00D33DD7" w:rsidRPr="0025786C" w:rsidTr="0025786C">
        <w:trPr>
          <w:trHeight w:val="29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4.4.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F34B7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Upplýsingar um í hvaða gjaldmiðli verðbréfin eru gefin út.</w:t>
            </w:r>
          </w:p>
        </w:tc>
      </w:tr>
      <w:tr w:rsidR="00D33DD7" w:rsidRPr="0025786C" w:rsidTr="0025786C">
        <w:trPr>
          <w:trHeight w:val="1495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4.5.</w:t>
            </w:r>
          </w:p>
        </w:tc>
        <w:tc>
          <w:tcPr>
            <w:tcW w:w="7659" w:type="dxa"/>
            <w:vAlign w:val="center"/>
          </w:tcPr>
          <w:p w:rsidR="00F34B70" w:rsidRPr="0025786C" w:rsidRDefault="00F34B70" w:rsidP="003A3562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Lýsing á réttindum tengdum verðbréfunum, þ.m.t. hvers kyns takmarkanir á þessum réttindum, og málsmeðferð</w:t>
            </w:r>
            <w:r w:rsidR="003A3562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við nýtingu þeirra.</w:t>
            </w:r>
          </w:p>
          <w:p w:rsidR="00F34B70" w:rsidRPr="0025786C" w:rsidRDefault="00F34B70" w:rsidP="00F34B7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F34B70" w:rsidRPr="0025786C" w:rsidRDefault="00F34B70" w:rsidP="003A3562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Réttur til arðs:</w:t>
            </w:r>
          </w:p>
          <w:p w:rsidR="00F34B70" w:rsidRPr="0025786C" w:rsidRDefault="00F34B70" w:rsidP="00F34B7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F34B70" w:rsidRPr="0025786C" w:rsidRDefault="00F34B70" w:rsidP="002578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Sá dagur eða dagar sem réttur til arðs stofnast,</w:t>
            </w:r>
          </w:p>
          <w:p w:rsidR="00F34B70" w:rsidRPr="0025786C" w:rsidRDefault="00F34B70" w:rsidP="00F34B7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F34B70" w:rsidRPr="0025786C" w:rsidRDefault="00F34B70" w:rsidP="002578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þau tímamörk þar sem réttur til arðgreiðslu fellur niður og upplýsingar um hver sá aðili er sem slíkur</w:t>
            </w:r>
            <w:r w:rsidR="003A3562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réttur flyst til eftir þau tímamörk,</w:t>
            </w:r>
          </w:p>
          <w:p w:rsidR="00F34B70" w:rsidRPr="0025786C" w:rsidRDefault="00F34B70" w:rsidP="00F34B7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F34B70" w:rsidRPr="0025786C" w:rsidRDefault="00F34B70" w:rsidP="002578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takmarkanir á arði og málsmeðferð fyrir handhafa verðbréfa sem eru ekki búsettir í landinu,</w:t>
            </w:r>
          </w:p>
          <w:p w:rsidR="00F34B70" w:rsidRPr="0025786C" w:rsidRDefault="00F34B70" w:rsidP="00F34B7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F34B70" w:rsidRPr="0025786C" w:rsidRDefault="00F34B70" w:rsidP="002578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fjárhæð arðs eða aðferð við að reikna hann út, tíðni arðgreiðslna og hvort þær séu uppsafnaðar eða ekki.</w:t>
            </w:r>
          </w:p>
          <w:p w:rsidR="00F34B70" w:rsidRPr="0025786C" w:rsidRDefault="00F34B70" w:rsidP="00F34B7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F34B70" w:rsidRPr="0025786C" w:rsidRDefault="00F34B70" w:rsidP="003A3562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Atkvæðisréttur.</w:t>
            </w:r>
          </w:p>
          <w:p w:rsidR="00F34B70" w:rsidRPr="0025786C" w:rsidRDefault="00F34B70" w:rsidP="00F34B7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F34B70" w:rsidRPr="0025786C" w:rsidRDefault="00F34B70" w:rsidP="003A3562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Forgangsréttur til áskriftar við útboð verðbréfa í sama flokki.</w:t>
            </w:r>
          </w:p>
          <w:p w:rsidR="00F34B70" w:rsidRPr="0025786C" w:rsidRDefault="00F34B70" w:rsidP="00F34B7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F34B70" w:rsidRPr="0025786C" w:rsidRDefault="00F34B70" w:rsidP="003A3562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lastRenderedPageBreak/>
              <w:t>Réttur til hlutdeildar í hagnaði útgefanda.</w:t>
            </w:r>
          </w:p>
          <w:p w:rsidR="00F34B70" w:rsidRPr="0025786C" w:rsidRDefault="00F34B70" w:rsidP="00F34B7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F34B70" w:rsidRPr="0025786C" w:rsidRDefault="00F34B70" w:rsidP="003A3562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Réttur til hlutdeildar í tekjum umfram gjöld ef til félagsslita kemur.</w:t>
            </w:r>
          </w:p>
          <w:p w:rsidR="00F34B70" w:rsidRPr="0025786C" w:rsidRDefault="00F34B70" w:rsidP="00F34B7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F34B70" w:rsidRPr="0025786C" w:rsidRDefault="00F34B70" w:rsidP="003A3562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Innlausnarákvæði.</w:t>
            </w:r>
          </w:p>
          <w:p w:rsidR="00F34B70" w:rsidRPr="0025786C" w:rsidRDefault="00F34B70" w:rsidP="00F34B7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D33DD7" w:rsidRPr="0025786C" w:rsidRDefault="00F34B70" w:rsidP="003A3562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Breytingarákvæði (conversion provisions).</w:t>
            </w:r>
          </w:p>
        </w:tc>
      </w:tr>
      <w:tr w:rsidR="00D33DD7" w:rsidRPr="0025786C" w:rsidTr="0025786C">
        <w:trPr>
          <w:trHeight w:val="548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4.6.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776B7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Ef um er að ræða nýjar útgáfur skal skýra frá ályktunum, heimildum og samþykktum sem hafa eða munu liggja</w:t>
            </w:r>
            <w:r w:rsidR="00776B7D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til grundvallar stofnun og/eða útgáfu verðbréfanna.</w:t>
            </w:r>
          </w:p>
        </w:tc>
      </w:tr>
      <w:tr w:rsidR="00D33DD7" w:rsidRPr="0025786C" w:rsidTr="0025786C">
        <w:trPr>
          <w:trHeight w:val="28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4.7.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AB5C84">
            <w:pPr>
              <w:rPr>
                <w:sz w:val="22"/>
                <w:szCs w:val="22"/>
                <w:lang w:val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Ef um er að ræða nýjar útgáfur skal tilgreina fyrirhugaðan útgáfudag verðbréfanna.</w:t>
            </w:r>
          </w:p>
        </w:tc>
      </w:tr>
      <w:tr w:rsidR="00D33DD7" w:rsidRPr="0025786C" w:rsidTr="0025786C">
        <w:trPr>
          <w:trHeight w:val="28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4.8.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AB5C84">
            <w:pPr>
              <w:rPr>
                <w:sz w:val="22"/>
                <w:szCs w:val="22"/>
                <w:lang w:val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Lýsing á hvers kyns takmörkunum á frjálsu framsali á verðbréfunum.</w:t>
            </w:r>
          </w:p>
        </w:tc>
      </w:tr>
      <w:tr w:rsidR="00D33DD7" w:rsidRPr="0025786C" w:rsidTr="0025786C">
        <w:trPr>
          <w:trHeight w:val="381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4.9.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776B7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Upplýsingar um hvort til staðar séu skyldubundin yfirtökutilboð og/eða reglur um innlausnarrétt og</w:t>
            </w:r>
            <w:r w:rsidR="00776B7D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innlausnarskyldu í tengslum við verðbréfin.</w:t>
            </w:r>
          </w:p>
        </w:tc>
      </w:tr>
      <w:tr w:rsidR="00D33DD7" w:rsidRPr="0025786C" w:rsidTr="0025786C">
        <w:trPr>
          <w:trHeight w:val="590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4.10.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776B7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Upplýsingar um opinber yfirtökutilboð af hálfu þriðju aðila í tengslum við hlutabréf útgefanda sem hafa átt sér</w:t>
            </w:r>
            <w:r w:rsidR="00776B7D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stað á síðastliðnu og yfirstandandi fjárhagsári. Tilgreina skal verð eða skiptakjör sem fylgja slíkum tilboðum og</w:t>
            </w:r>
            <w:r w:rsidR="00776B7D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hver niðurstaðan hefur orðið.</w:t>
            </w:r>
          </w:p>
        </w:tc>
      </w:tr>
      <w:tr w:rsidR="00D33DD7" w:rsidRPr="0025786C" w:rsidTr="0025786C">
        <w:trPr>
          <w:trHeight w:val="876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4.11.</w:t>
            </w:r>
          </w:p>
        </w:tc>
        <w:tc>
          <w:tcPr>
            <w:tcW w:w="7659" w:type="dxa"/>
            <w:vAlign w:val="center"/>
          </w:tcPr>
          <w:p w:rsidR="00F34B70" w:rsidRPr="0025786C" w:rsidRDefault="00F34B70" w:rsidP="00776B7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Að því er varðar landið þar sem útgefandi hefur skráða skrifstofu og land eða lönd þar sem útboð verðbréfa fer</w:t>
            </w:r>
            <w:r w:rsidR="00776B7D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fram eða þar sem óskað er eftir skráningu verðbréfa skal tilgreina eftirfarandi:</w:t>
            </w:r>
          </w:p>
          <w:p w:rsidR="0025786C" w:rsidRDefault="0025786C" w:rsidP="0025786C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F34B70" w:rsidRPr="0025786C" w:rsidRDefault="00F34B70" w:rsidP="0025786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Upplýsingar um skatta af verðbréfunum sem haldið er eftir til staðgreiðslu,</w:t>
            </w:r>
          </w:p>
          <w:p w:rsidR="00F34B70" w:rsidRPr="0025786C" w:rsidRDefault="00F34B70" w:rsidP="00F34B7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D33DD7" w:rsidRPr="0025786C" w:rsidRDefault="00F34B70" w:rsidP="0025786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upplýsingar um hvort útgefandi ábyrgist að staðgreiðsluskatti sé haldið eftir.</w:t>
            </w:r>
          </w:p>
        </w:tc>
      </w:tr>
      <w:tr w:rsidR="00D33DD7" w:rsidRPr="0025786C" w:rsidTr="0025786C">
        <w:trPr>
          <w:trHeight w:val="342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5.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F34B70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  <w:t>SKILMÁLAR OG SKILYRÐI FYRIR ÚTBOÐINU</w:t>
            </w:r>
          </w:p>
        </w:tc>
      </w:tr>
      <w:tr w:rsidR="00D33DD7" w:rsidRPr="0025786C" w:rsidTr="0025786C">
        <w:trPr>
          <w:trHeight w:val="28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5.1.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776B7D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,Italic" w:hAnsi="TimesNewRoman,Italic" w:cs="TimesNewRoman,Italic"/>
                <w:i/>
                <w:iCs/>
                <w:sz w:val="22"/>
                <w:szCs w:val="22"/>
                <w:lang w:val="is-IS" w:eastAsia="is-IS"/>
              </w:rPr>
              <w:t>Skilyrði, tölfræðilegar upplýsingar um útboð, fyrirhuguð tímaáætlun og nauðsynlegar aðgerðir varðandi þátttöku</w:t>
            </w:r>
            <w:r w:rsidR="00776B7D" w:rsidRPr="0025786C">
              <w:rPr>
                <w:rFonts w:ascii="TimesNewRoman,Italic" w:hAnsi="TimesNewRoman,Italic" w:cs="TimesNewRoman,Italic"/>
                <w:i/>
                <w:iCs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,Italic" w:hAnsi="TimesNewRoman,Italic" w:cs="TimesNewRoman,Italic"/>
                <w:i/>
                <w:iCs/>
                <w:sz w:val="22"/>
                <w:szCs w:val="22"/>
                <w:lang w:val="is-IS" w:eastAsia="is-IS"/>
              </w:rPr>
              <w:t>í útboðinu</w:t>
            </w:r>
          </w:p>
        </w:tc>
      </w:tr>
      <w:tr w:rsidR="00D33DD7" w:rsidRPr="0025786C" w:rsidTr="0025786C">
        <w:trPr>
          <w:trHeight w:val="28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5.1.1.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AB5C84">
            <w:pPr>
              <w:rPr>
                <w:sz w:val="22"/>
                <w:szCs w:val="22"/>
                <w:lang w:val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Skilyrði sem gilda um útboðið.</w:t>
            </w:r>
          </w:p>
        </w:tc>
      </w:tr>
      <w:tr w:rsidR="00D33DD7" w:rsidRPr="0025786C" w:rsidTr="0025786C">
        <w:trPr>
          <w:trHeight w:val="470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5.1.2.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776B7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Heildarfjárhæð útgáfunnar/útboðsins þar sem gerður er greinarmunur á verðbréfum sem eru boðin til kaups og</w:t>
            </w:r>
            <w:r w:rsidR="00776B7D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þeim sem eru boðin til áskriftar. Ef fjárhæðin er ekki föst skal lýsa hvernig og hvenær endanleg fjárhæð</w:t>
            </w:r>
            <w:r w:rsidR="00776B7D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útboðsins verður tilkynnt opinberlega.</w:t>
            </w:r>
          </w:p>
        </w:tc>
      </w:tr>
      <w:tr w:rsidR="00D33DD7" w:rsidRPr="0025786C" w:rsidTr="0025786C">
        <w:trPr>
          <w:trHeight w:val="203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5.1.3.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AB5C84">
            <w:pPr>
              <w:rPr>
                <w:sz w:val="22"/>
                <w:szCs w:val="22"/>
                <w:lang w:val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Upplýsingar um hversu lengi útboðið stendur, þ.m.t. hvers kyns mögulegar breytingar og lýsing á áskriftarferlinu.</w:t>
            </w:r>
          </w:p>
        </w:tc>
      </w:tr>
      <w:tr w:rsidR="00D33DD7" w:rsidRPr="0025786C" w:rsidTr="0025786C">
        <w:trPr>
          <w:trHeight w:val="141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5.1.4.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776B7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Upplýsingar um hvenær og við hvaða aðstæður er hægt að afturkalla eða fresta útboði og hvort afturköllun geti</w:t>
            </w:r>
            <w:r w:rsidR="00776B7D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átt sér stað eftir að viðskipti hefjast.</w:t>
            </w:r>
          </w:p>
        </w:tc>
      </w:tr>
      <w:tr w:rsidR="00D33DD7" w:rsidRPr="0025786C" w:rsidTr="0025786C">
        <w:trPr>
          <w:trHeight w:val="334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5.1.5.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776B7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Upplýsingar um mögulegar skerðingar á áskriftum og með hvaða hætti endurgreiðsla umframfjárhæða sem</w:t>
            </w:r>
            <w:r w:rsidR="00776B7D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umsækjendur hafa greitt fer fram.</w:t>
            </w:r>
          </w:p>
        </w:tc>
      </w:tr>
      <w:tr w:rsidR="00D33DD7" w:rsidRPr="0025786C" w:rsidTr="0025786C">
        <w:trPr>
          <w:trHeight w:val="28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5.1.6.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776B7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Ítarlegar upplýsingar um lágmarks- og/eða hámarksfjárhæð áskriftar (hvort sem um er að ræða fjölda verðbréfa</w:t>
            </w:r>
            <w:r w:rsidR="00776B7D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eða samanlagða fjárfestingarfjárhæð).</w:t>
            </w:r>
          </w:p>
        </w:tc>
      </w:tr>
      <w:tr w:rsidR="00D33DD7" w:rsidRPr="0025786C" w:rsidTr="0025786C">
        <w:trPr>
          <w:trHeight w:val="28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5.1.7.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F34B7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Ef fjárfestum er heimilt að draga áskrift sína til baka skal tilgreina tímabilið sem það er leyfilegt.</w:t>
            </w:r>
          </w:p>
        </w:tc>
      </w:tr>
      <w:tr w:rsidR="00D33DD7" w:rsidRPr="0025786C" w:rsidTr="0025786C">
        <w:trPr>
          <w:trHeight w:val="28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5.1.8.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AB5C84">
            <w:pPr>
              <w:rPr>
                <w:sz w:val="22"/>
                <w:szCs w:val="22"/>
                <w:lang w:val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Skipulag og tímamörk fyrir greiðslu og afhendingu verðbréfa.</w:t>
            </w:r>
          </w:p>
        </w:tc>
      </w:tr>
      <w:tr w:rsidR="00D33DD7" w:rsidRPr="0025786C" w:rsidTr="0025786C">
        <w:trPr>
          <w:trHeight w:val="77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5.1.9.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AB5C84">
            <w:pPr>
              <w:rPr>
                <w:sz w:val="22"/>
                <w:szCs w:val="22"/>
                <w:lang w:val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Ítarleg lýsing á því á hvernig og hvenær niðurstöður útboðsins verða birtar opinberlega.</w:t>
            </w:r>
          </w:p>
        </w:tc>
      </w:tr>
      <w:tr w:rsidR="00D33DD7" w:rsidRPr="0025786C" w:rsidTr="0025786C">
        <w:trPr>
          <w:trHeight w:val="157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5.1.10.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776B7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Málsmeðferð varðandi nýtingu forgangsréttar; framsal áskriftarréttar og hvernig farið skuli með áskriftarrétt sem</w:t>
            </w:r>
            <w:r w:rsidR="00776B7D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ekki er nýttur.</w:t>
            </w:r>
          </w:p>
        </w:tc>
      </w:tr>
      <w:tr w:rsidR="00D33DD7" w:rsidRPr="0025786C" w:rsidTr="0025786C">
        <w:trPr>
          <w:trHeight w:val="28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5.2.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AB5C84">
            <w:pPr>
              <w:rPr>
                <w:sz w:val="22"/>
                <w:szCs w:val="22"/>
                <w:lang w:val="is-IS"/>
              </w:rPr>
            </w:pPr>
            <w:r w:rsidRPr="0025786C">
              <w:rPr>
                <w:rFonts w:ascii="TimesNewRoman,Italic" w:hAnsi="TimesNewRoman,Italic" w:cs="TimesNewRoman,Italic"/>
                <w:i/>
                <w:iCs/>
                <w:sz w:val="22"/>
                <w:szCs w:val="22"/>
                <w:lang w:val="is-IS" w:eastAsia="is-IS"/>
              </w:rPr>
              <w:t>Skipulag dreifingar og úthlutunar</w:t>
            </w:r>
          </w:p>
        </w:tc>
      </w:tr>
      <w:tr w:rsidR="00D33DD7" w:rsidRPr="0025786C" w:rsidTr="0025786C">
        <w:trPr>
          <w:trHeight w:val="285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5.2.1.</w:t>
            </w:r>
          </w:p>
        </w:tc>
        <w:tc>
          <w:tcPr>
            <w:tcW w:w="7659" w:type="dxa"/>
            <w:vAlign w:val="center"/>
          </w:tcPr>
          <w:p w:rsidR="00F34B70" w:rsidRPr="0025786C" w:rsidRDefault="00F34B70" w:rsidP="00776B7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Mismunandi flokkar mögulegra fjárfesta sem verðbréfin eru boðin til kaups. Ef útboð fer fram samtímis á</w:t>
            </w:r>
            <w:r w:rsidR="00776B7D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mörkuðum í tveimur eða fleiri löndum og ef ákveðinn hluti hefur verið tekinn eða er tekinn frá fyrir einhverja af</w:t>
            </w:r>
          </w:p>
          <w:p w:rsidR="00D33DD7" w:rsidRPr="0025786C" w:rsidRDefault="00F34B70" w:rsidP="00776B7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þessum mörkuðum skulu allir slíkir hlutar tilgreindir.</w:t>
            </w:r>
          </w:p>
        </w:tc>
      </w:tr>
      <w:tr w:rsidR="00D33DD7" w:rsidRPr="0025786C" w:rsidTr="0025786C">
        <w:trPr>
          <w:trHeight w:val="1055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5.2.2.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776B7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Ef útgefandi hefur vitneskju um hvort stærstu hluthafarnir, aðilar að stjórn, framkvæmdastjórn eða eftirlitsstjórn</w:t>
            </w:r>
            <w:r w:rsidR="00776B7D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útgefandans hafa í hyggju að skrá sig fyrir verðbréfum sem boðin eru til kaups eða hvort einhverjir aðilar hafi í</w:t>
            </w:r>
            <w:r w:rsidR="00776B7D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hyggju að skrá sig fyrir meira en 5% af útboðinu, skal hann skýra frá því.</w:t>
            </w:r>
          </w:p>
        </w:tc>
      </w:tr>
      <w:tr w:rsidR="00D33DD7" w:rsidRPr="0025786C" w:rsidTr="0025786C">
        <w:trPr>
          <w:trHeight w:val="7173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5.2.3.</w:t>
            </w:r>
          </w:p>
        </w:tc>
        <w:tc>
          <w:tcPr>
            <w:tcW w:w="7659" w:type="dxa"/>
            <w:vAlign w:val="center"/>
          </w:tcPr>
          <w:p w:rsidR="00F34B70" w:rsidRPr="0025786C" w:rsidRDefault="00F34B70" w:rsidP="00F34B7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Upplýsingar áður en úthlutun á sér stað:</w:t>
            </w:r>
          </w:p>
          <w:p w:rsidR="00F34B70" w:rsidRPr="0025786C" w:rsidRDefault="00F34B70" w:rsidP="00F34B70">
            <w:pPr>
              <w:autoSpaceDE w:val="0"/>
              <w:autoSpaceDN w:val="0"/>
              <w:adjustRightInd w:val="0"/>
              <w:ind w:left="720" w:firstLine="72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F34B70" w:rsidRPr="0025786C" w:rsidRDefault="00F34B70" w:rsidP="002578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Upplýsingar um skiptingu útboðsins í hluta, þ.á m. hluta stofnanafjárfesta, almennra fjárfesta og</w:t>
            </w:r>
            <w:r w:rsidR="00776B7D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starfsmanna útgefanda, og hvers kyns aðrir hlutar.</w:t>
            </w:r>
          </w:p>
          <w:p w:rsidR="00F34B70" w:rsidRPr="0025786C" w:rsidRDefault="00F34B70" w:rsidP="00F34B70">
            <w:pPr>
              <w:autoSpaceDE w:val="0"/>
              <w:autoSpaceDN w:val="0"/>
              <w:adjustRightInd w:val="0"/>
              <w:ind w:left="720" w:firstLine="72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F34B70" w:rsidRPr="0025786C" w:rsidRDefault="00F34B70" w:rsidP="002578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Skilyrði f</w:t>
            </w:r>
            <w:r w:rsidR="00776B7D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yrir endurgreiðslu (claw-back), hámarksfjárhæð slíkrar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endurgreiðslu ásamt lægstu  prósentutölu sem notuð verður fyrir einstaka hluta.</w:t>
            </w:r>
          </w:p>
          <w:p w:rsidR="00F34B70" w:rsidRPr="0025786C" w:rsidRDefault="00F34B70" w:rsidP="00F34B70">
            <w:pPr>
              <w:autoSpaceDE w:val="0"/>
              <w:autoSpaceDN w:val="0"/>
              <w:adjustRightInd w:val="0"/>
              <w:ind w:left="720" w:firstLine="72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776B7D" w:rsidRPr="0025786C" w:rsidRDefault="00F34B70" w:rsidP="002578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Aðferð eða aðferðir sem notaðar verða við úthlutun þeirra hluta útboðsins </w:t>
            </w:r>
          </w:p>
          <w:p w:rsidR="00F34B70" w:rsidRPr="0025786C" w:rsidRDefault="00F34B70" w:rsidP="0025786C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sem úthlutað verður til almennra fjárfesta</w:t>
            </w:r>
            <w:r w:rsid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og starfsmanna útgefanda ef um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er að ræða umframáskrift í þessum hlutum.</w:t>
            </w:r>
          </w:p>
          <w:p w:rsidR="00F34B70" w:rsidRPr="0025786C" w:rsidRDefault="00F34B70" w:rsidP="0025786C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F34B70" w:rsidRPr="0025786C" w:rsidRDefault="00F34B70" w:rsidP="002578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Lýsing á áður skilgreindri forgangsmeðferð fyrir tiltekna flokka fjárfesta eða tengda hópa (þ.m.t.</w:t>
            </w:r>
            <w:r w:rsidR="00776B7D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fjárfestingaráætlanir sem beinast að vinum og fjölskyldu) við úthlutunina, það hlutfall útboðsins sem er</w:t>
            </w:r>
            <w:r w:rsidR="00776B7D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frátekið fyrir slíka forgangsmeðferð ásamt viðmiðunum um hvernig aðilar teljast til slíkra flokka eða hópa.</w:t>
            </w:r>
          </w:p>
          <w:p w:rsidR="00F34B70" w:rsidRPr="0025786C" w:rsidRDefault="00F34B70" w:rsidP="00F34B70">
            <w:pPr>
              <w:autoSpaceDE w:val="0"/>
              <w:autoSpaceDN w:val="0"/>
              <w:adjustRightInd w:val="0"/>
              <w:ind w:left="720" w:firstLine="72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F34B70" w:rsidRPr="0025786C" w:rsidRDefault="00F34B70" w:rsidP="002578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Upplýsingar um hvort meðferð áskrifta eða tilboða um áskrift í tengslum við úthlutun ákvarðist af því</w:t>
            </w:r>
            <w:r w:rsidR="00776B7D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hvaða fyrirtæki leggur áskrift eða tilboð fram eða hefur milligöngu um það.</w:t>
            </w:r>
          </w:p>
          <w:p w:rsidR="00F34B70" w:rsidRPr="0025786C" w:rsidRDefault="00F34B70" w:rsidP="00F34B70">
            <w:pPr>
              <w:autoSpaceDE w:val="0"/>
              <w:autoSpaceDN w:val="0"/>
              <w:adjustRightInd w:val="0"/>
              <w:ind w:left="720" w:firstLine="72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F34B70" w:rsidRPr="0025786C" w:rsidRDefault="00F34B70" w:rsidP="002578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Lágmarksviðmið, ef einhver eru, við úthlut</w:t>
            </w:r>
            <w:r w:rsid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un til almennra fjárfesta innan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þess hluta útboðsins sem</w:t>
            </w:r>
            <w:r w:rsidR="00776B7D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úthlutað verður til almennra fjárfesta.</w:t>
            </w:r>
          </w:p>
          <w:p w:rsidR="00F34B70" w:rsidRPr="0025786C" w:rsidRDefault="00F34B70" w:rsidP="00F34B70">
            <w:pPr>
              <w:autoSpaceDE w:val="0"/>
              <w:autoSpaceDN w:val="0"/>
              <w:adjustRightInd w:val="0"/>
              <w:ind w:left="720" w:firstLine="72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F34B70" w:rsidRPr="0025786C" w:rsidRDefault="00F34B70" w:rsidP="002578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Upplýsingar um skilyrði fyrir lokun útboðsins ásamt fyrsta degi sem heimilt er að loka því.</w:t>
            </w:r>
          </w:p>
          <w:p w:rsidR="00F34B70" w:rsidRPr="0025786C" w:rsidRDefault="00F34B70" w:rsidP="00F34B70">
            <w:pPr>
              <w:autoSpaceDE w:val="0"/>
              <w:autoSpaceDN w:val="0"/>
              <w:adjustRightInd w:val="0"/>
              <w:ind w:left="720" w:firstLine="72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D33DD7" w:rsidRPr="0025786C" w:rsidRDefault="00F34B70" w:rsidP="002578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Upplýsingar um hvort heimila megi fleiri en eina áskrift frá sama aðila og í því tilviki sem það er ekki</w:t>
            </w:r>
            <w:r w:rsidR="00776B7D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leyft hvernig fara eigi með slíkar áskriftir.</w:t>
            </w:r>
          </w:p>
        </w:tc>
      </w:tr>
      <w:tr w:rsidR="00D33DD7" w:rsidRPr="0025786C" w:rsidTr="0025786C">
        <w:trPr>
          <w:trHeight w:val="173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5.2.4.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776B7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Aðferð við tilkynningu til umsækjenda um fjárhæðina sem þeim er úthlutað ásamt upplýsingum um hvort</w:t>
            </w:r>
            <w:r w:rsidR="00776B7D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viðskipti megi hefjast áður en tilkynning berst þeim.</w:t>
            </w:r>
          </w:p>
        </w:tc>
      </w:tr>
      <w:tr w:rsidR="00D33DD7" w:rsidRPr="0025786C" w:rsidTr="0025786C">
        <w:trPr>
          <w:trHeight w:val="2344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5.2.5.</w:t>
            </w:r>
          </w:p>
        </w:tc>
        <w:tc>
          <w:tcPr>
            <w:tcW w:w="7659" w:type="dxa"/>
            <w:vAlign w:val="center"/>
          </w:tcPr>
          <w:p w:rsidR="00F34B70" w:rsidRPr="0025786C" w:rsidRDefault="00F34B70" w:rsidP="00F34B7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Umframúthlutun og „Green Shoe-réttur til úthlutunar“.</w:t>
            </w:r>
          </w:p>
          <w:p w:rsidR="00F34B70" w:rsidRPr="0025786C" w:rsidRDefault="00F34B70" w:rsidP="00F34B70">
            <w:pPr>
              <w:autoSpaceDE w:val="0"/>
              <w:autoSpaceDN w:val="0"/>
              <w:adjustRightInd w:val="0"/>
              <w:ind w:left="720" w:firstLine="72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F34B70" w:rsidRPr="0025786C" w:rsidRDefault="00F34B70" w:rsidP="0025786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Upplýsingar um heimild til hugsanlegrar umframúthlutunar og/eða Green Shoe-réttar til úthlutunar og</w:t>
            </w:r>
            <w:r w:rsidR="00776B7D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hvert umfang hennar er.</w:t>
            </w:r>
          </w:p>
          <w:p w:rsidR="00F34B70" w:rsidRPr="0025786C" w:rsidRDefault="00F34B70" w:rsidP="00F34B70">
            <w:pPr>
              <w:autoSpaceDE w:val="0"/>
              <w:autoSpaceDN w:val="0"/>
              <w:adjustRightInd w:val="0"/>
              <w:ind w:left="720" w:firstLine="72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F34B70" w:rsidRPr="0025786C" w:rsidRDefault="00F34B70" w:rsidP="0025786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Upplýsingar um tímabil þar sem mögulegt er að beita umframúthlutun og/eða Green Shoe-rétti.</w:t>
            </w:r>
          </w:p>
          <w:p w:rsidR="00F34B70" w:rsidRPr="0025786C" w:rsidRDefault="00F34B70" w:rsidP="00F34B70">
            <w:pPr>
              <w:autoSpaceDE w:val="0"/>
              <w:autoSpaceDN w:val="0"/>
              <w:adjustRightInd w:val="0"/>
              <w:ind w:left="720" w:firstLine="72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D33DD7" w:rsidRPr="0025786C" w:rsidRDefault="00F34B70" w:rsidP="0025786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Upplýsingar um skilyrði fyrir nýtingu á heimild til umframúthlutunar eða nýtingu Green Shoe-réttar.</w:t>
            </w:r>
          </w:p>
        </w:tc>
      </w:tr>
      <w:tr w:rsidR="00D33DD7" w:rsidRPr="0025786C" w:rsidTr="0025786C">
        <w:trPr>
          <w:trHeight w:val="28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5.3.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F34B70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,Italic" w:hAnsi="TimesNewRoman,Italic" w:cs="TimesNewRoman,Italic"/>
                <w:i/>
                <w:iCs/>
                <w:sz w:val="22"/>
                <w:szCs w:val="22"/>
                <w:lang w:val="is-IS" w:eastAsia="is-IS"/>
              </w:rPr>
              <w:t>Verðlagning</w:t>
            </w:r>
          </w:p>
        </w:tc>
      </w:tr>
      <w:tr w:rsidR="00D33DD7" w:rsidRPr="0025786C" w:rsidTr="0025786C">
        <w:trPr>
          <w:trHeight w:val="1388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5.3.1.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31674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Tilgreina skal verðið sem verðbréfin verða boðin á. Ef ekki er vitað um verðið og ef ekki er um að ræða</w:t>
            </w:r>
            <w:r w:rsidR="00316743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viðurkenndan og/eða virkan markað fyrir verðbréfin skal tilgreina þá aðferð sem er notuð til að ákvarða</w:t>
            </w:r>
            <w:r w:rsidR="00316743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útboðsverð, þ.m.t. yfirlýsing um hver hafi ákveðið viðmiðanirnar eða hver sé formlega ábyrgur fyrir</w:t>
            </w:r>
            <w:r w:rsidR="00316743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ákvörðuninni. Upplýsa skal um fjárhæð allra útgjalda og skatta sem áskrifandi eða kaupandi verða sérstaklega</w:t>
            </w:r>
            <w:r w:rsidR="00316743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krafðir um.</w:t>
            </w:r>
          </w:p>
        </w:tc>
      </w:tr>
      <w:tr w:rsidR="00D33DD7" w:rsidRPr="0025786C" w:rsidTr="0025786C">
        <w:trPr>
          <w:trHeight w:val="28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5.3.2.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F34B7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Aðferð við birtingu útboðsverðs.</w:t>
            </w:r>
          </w:p>
        </w:tc>
      </w:tr>
      <w:tr w:rsidR="00D33DD7" w:rsidRPr="0025786C" w:rsidTr="0025786C"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5.3.3.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31674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Ef eigendur hlutafjár hjá útgefanda hafa forgangsrétt og þessi réttur er háður takmörkunum eða er afturkallaður</w:t>
            </w:r>
            <w:r w:rsidR="00316743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skal greina frá því á hverju útgáfuverðið byggist þegar selt er gegn staðgreiðslu og forsendum fyrir takmörkunum</w:t>
            </w:r>
            <w:r w:rsidR="00316743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og afturköllun á slíkum rétti, ásamt ástæðum slíkra takmarkana og afturkallana og hverjir njóta góðs af þeim.</w:t>
            </w:r>
          </w:p>
        </w:tc>
      </w:tr>
      <w:tr w:rsidR="00D33DD7" w:rsidRPr="0025786C" w:rsidTr="0025786C">
        <w:trPr>
          <w:trHeight w:val="884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5.3.4.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31674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Ef mikils misræmis gætir eða gæti gætt milli opinbers útboðsverðs og raunverulegs verðs sem aðilar að stjórn,</w:t>
            </w:r>
            <w:r w:rsidR="00316743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framkvæmdastjórn eða eftirlitsstjórn eða æðstu stjórnendur eða tengdir aðilar, hafa greitt fyrir verðbréf sem þeir</w:t>
            </w:r>
            <w:r w:rsidR="00316743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hafa keypt í viðskiptum undanfarið ár eða sem þeir hafa rétt á að kaupa, skal koma fram samanburður á</w:t>
            </w:r>
            <w:r w:rsidR="00316743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greiðslum í fyrirhugaða opinbera útboðinu og raunverulegum greiðslum þessara aðila.</w:t>
            </w:r>
          </w:p>
        </w:tc>
      </w:tr>
      <w:tr w:rsidR="00D33DD7" w:rsidRPr="0025786C" w:rsidTr="0025786C">
        <w:trPr>
          <w:trHeight w:val="65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5.4.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AB5C84">
            <w:pPr>
              <w:rPr>
                <w:sz w:val="22"/>
                <w:szCs w:val="22"/>
                <w:lang w:val="is-IS"/>
              </w:rPr>
            </w:pPr>
            <w:r w:rsidRPr="0025786C">
              <w:rPr>
                <w:rFonts w:ascii="TimesNewRoman,Italic" w:hAnsi="TimesNewRoman,Italic" w:cs="TimesNewRoman,Italic"/>
                <w:i/>
                <w:iCs/>
                <w:sz w:val="22"/>
                <w:szCs w:val="22"/>
                <w:lang w:val="is-IS" w:eastAsia="is-IS"/>
              </w:rPr>
              <w:t>Markaðssetning og/eða sala og sölutrygging</w:t>
            </w:r>
          </w:p>
        </w:tc>
      </w:tr>
      <w:tr w:rsidR="00D33DD7" w:rsidRPr="0025786C" w:rsidTr="0025786C">
        <w:trPr>
          <w:trHeight w:val="1059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5.4.1.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31674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Nafn og heimilisfang þess eða þeirra sem hafa umsjón með heildarútboðinu eða einstaka hlutum þess og, að því</w:t>
            </w:r>
            <w:r w:rsidR="00316743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marki sem útgefanda eða tilboðsgjafa er kunnugt um, þeirra sem markaðssetja og/eða selja verðbréfin í hinum</w:t>
            </w:r>
            <w:r w:rsidR="00316743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ýmsu löndum þar sem útboðið fer fram.</w:t>
            </w:r>
          </w:p>
        </w:tc>
      </w:tr>
      <w:tr w:rsidR="00D33DD7" w:rsidRPr="0025786C" w:rsidTr="0025786C">
        <w:trPr>
          <w:trHeight w:val="536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5.4.2.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31674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Nafn og heimilisfang þeirra aðila sem annast greiðslur (paying agents) og vörsluaðila (depository agents) í hverju</w:t>
            </w:r>
            <w:r w:rsidR="00316743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landi fyrir sig.</w:t>
            </w:r>
          </w:p>
        </w:tc>
      </w:tr>
      <w:tr w:rsidR="00D33DD7" w:rsidRPr="0025786C" w:rsidTr="0025786C">
        <w:trPr>
          <w:trHeight w:val="1594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5.4.3.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31674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Nöfn og heimilisföng aðila sem hafa samþykkt með bindandi samkomulagi að sölutryggja útgáfuna og nöfn og</w:t>
            </w:r>
            <w:r w:rsidR="00316743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heimilisföng aðila sem hafa samþykkt að markaðssetja og/eða selja útgáfuna án bindandi samkomulags eða eftir</w:t>
            </w:r>
            <w:r w:rsidR="00316743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bestu getu. Upplýsingar um mikilvæg einkenni samninganna, þ.m.t. hversu mikinn hluta hver hefur til sölu. Sé</w:t>
            </w:r>
            <w:r w:rsidR="00316743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útgáfan ekki öll sölutryggð skal tilgreina þann hluta sem sölutrygging nær ekki til. Upplýsa skal um</w:t>
            </w:r>
            <w:r w:rsidR="00316743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heildarþóknanir vegna sölutryggingar og markaðssetningar og/eða sölu.</w:t>
            </w:r>
          </w:p>
        </w:tc>
      </w:tr>
      <w:tr w:rsidR="00D33DD7" w:rsidRPr="0025786C" w:rsidTr="0025786C">
        <w:trPr>
          <w:trHeight w:val="346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5.4.4.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F34B7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Upplýsingar um hvenær samningur um sölutryggingu hafi verið eða verði samþykktur.</w:t>
            </w:r>
          </w:p>
        </w:tc>
      </w:tr>
      <w:tr w:rsidR="00D33DD7" w:rsidRPr="0025786C" w:rsidTr="0025786C">
        <w:trPr>
          <w:trHeight w:val="28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6.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AB5C84">
            <w:pPr>
              <w:rPr>
                <w:sz w:val="22"/>
                <w:szCs w:val="22"/>
                <w:lang w:val="is-IS"/>
              </w:rPr>
            </w:pPr>
            <w:r w:rsidRPr="0025786C"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  <w:t>SKRÁNING Á MARKAÐ OG FYRIRKOMULAG VIÐSKIPTA</w:t>
            </w:r>
          </w:p>
        </w:tc>
      </w:tr>
      <w:tr w:rsidR="00D33DD7" w:rsidRPr="0025786C" w:rsidTr="0025786C">
        <w:trPr>
          <w:trHeight w:val="1236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6.1.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31674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Upplýsingar um hvort sótt hafi verið eða sótt verði um skráningu á verðbréfunum, sem eru boðin til kaups, á</w:t>
            </w:r>
            <w:r w:rsidR="00316743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skipulegan verðbréfamarkað eða aðra sambærilega markaði ásamt upplýsingum um viðkomandi markaði. Nefna</w:t>
            </w:r>
            <w:r w:rsidR="00316743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skal þessar aðstæður án þess að gefið sé í skyn að skráningin verði endilega samþykkt. Tilgreina skal þá daga</w:t>
            </w:r>
            <w:r w:rsidR="00316743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þegar í fyrsta lagi er hægt að skrá verðbréfin á markað, ef vitað er um þá.</w:t>
            </w:r>
          </w:p>
        </w:tc>
      </w:tr>
      <w:tr w:rsidR="00D33DD7" w:rsidRPr="0025786C" w:rsidTr="0025786C">
        <w:trPr>
          <w:trHeight w:val="891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6.2.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31674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Tilgreina skal alla skipulega verðbréfamarkaði eða sambærilega markaði, sem útgefanda er kunnugt um, þar sem</w:t>
            </w:r>
            <w:r w:rsidR="00316743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verðbréf í sama flokki og verðbréfin sem á að bjóða eða skrá á markað, hafa þegar verið skráð.</w:t>
            </w:r>
          </w:p>
        </w:tc>
      </w:tr>
      <w:tr w:rsidR="00D33DD7" w:rsidRPr="0025786C" w:rsidTr="0025786C">
        <w:trPr>
          <w:trHeight w:val="1241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6.3.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31674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Ef útgáfa verðbréfa, sem sótt er um skráningu fyrir á skipulegan verðbréfamarkað, á sér stað samtímis eða nánast</w:t>
            </w:r>
            <w:r w:rsidR="00316743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samtímis og verðbréfa í sama flokki sem eru seld í áskrift eða í einu lagi eða ef verðbréf í öðrum flokkum eru</w:t>
            </w:r>
            <w:r w:rsidR="00316743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gefin út í almennu eða lokuðu útboði skal gera nákvæma grein fyrir eðli þeirrar aðgerðar og fjölda og einkennum</w:t>
            </w:r>
            <w:r w:rsidR="00316743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þeirra verðbréfa sem um er að ræða.</w:t>
            </w:r>
          </w:p>
        </w:tc>
      </w:tr>
      <w:tr w:rsidR="00D33DD7" w:rsidRPr="0025786C" w:rsidTr="0025786C">
        <w:trPr>
          <w:trHeight w:val="386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6.4.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31674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Upplýsingar um aðila sem hafa gert bindandi samkomulag um að starfa sem milliliðir (intermediaries) á</w:t>
            </w:r>
            <w:r w:rsidR="00316743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eftirmarkaði og sem búa til seljanleika (liquidity) með kaup- og sölutilboðum, ásamt lýsingu á helstu skilmálum</w:t>
            </w:r>
            <w:r w:rsidR="00316743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samkomulagsins.</w:t>
            </w:r>
          </w:p>
        </w:tc>
      </w:tr>
      <w:tr w:rsidR="00D33DD7" w:rsidRPr="0025786C" w:rsidTr="0025786C">
        <w:trPr>
          <w:trHeight w:val="215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6.5.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3167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Verðjöfnun (stabilisation): Ef útgefandi eða hluthafi</w:t>
            </w:r>
            <w:r w:rsidR="00316743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sem selur verðbréf hefur veitt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umframúthlutunarrétt (overallotment option) eða gefið til kynna að hugsanlega verði farið í verðjöfnunaraðgerðir í tengslum við útboð, skal greina frá eftirfarandi:</w:t>
            </w:r>
          </w:p>
        </w:tc>
      </w:tr>
      <w:tr w:rsidR="00D33DD7" w:rsidRPr="0025786C" w:rsidTr="0025786C">
        <w:trPr>
          <w:trHeight w:val="28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6.5.1.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31674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Upplýsingar um að verðjöfnun kunni að fara fram, að ekki sé öruggt að hún fari fram og að hún kunni að verða</w:t>
            </w:r>
            <w:r w:rsidR="00316743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stöðvuð hvenær sem er.</w:t>
            </w:r>
          </w:p>
        </w:tc>
      </w:tr>
      <w:tr w:rsidR="00D33DD7" w:rsidRPr="0025786C" w:rsidTr="0025786C">
        <w:trPr>
          <w:trHeight w:val="136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6.5.2.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F34B7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Upplýsingar um hvenær tímabilið sem verðjöfnun kann að fara fram hefjist og hvenær því ljúki.</w:t>
            </w:r>
          </w:p>
        </w:tc>
      </w:tr>
      <w:tr w:rsidR="00D33DD7" w:rsidRPr="0025786C" w:rsidTr="0025786C">
        <w:trPr>
          <w:trHeight w:val="518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6.5.3.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31674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Upplýsingar um hver sá er sem stýrir verðjöfnun fyrir viðkomandi lögsögu nema þessar upplýsingar liggi ekki</w:t>
            </w:r>
            <w:r w:rsidR="00316743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fyrir við birtingu.</w:t>
            </w:r>
          </w:p>
        </w:tc>
      </w:tr>
      <w:tr w:rsidR="00D33DD7" w:rsidRPr="0025786C" w:rsidTr="0025786C">
        <w:trPr>
          <w:trHeight w:val="126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6.5.4.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F34B7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Upplýsingar um að verðjöfnun geti haft í för með sér hærra markaðsverð en við venjulegar aðstæður.</w:t>
            </w:r>
          </w:p>
        </w:tc>
      </w:tr>
      <w:tr w:rsidR="00D33DD7" w:rsidRPr="0025786C" w:rsidTr="0025786C">
        <w:trPr>
          <w:trHeight w:val="28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7.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AB5C84">
            <w:pPr>
              <w:rPr>
                <w:sz w:val="22"/>
                <w:szCs w:val="22"/>
                <w:lang w:val="is-IS"/>
              </w:rPr>
            </w:pPr>
            <w:r w:rsidRPr="0025786C"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  <w:t>VERÐBRÉFAEIGENDUR SEM VILJA SELJA</w:t>
            </w:r>
          </w:p>
        </w:tc>
      </w:tr>
      <w:tr w:rsidR="00D33DD7" w:rsidRPr="0025786C" w:rsidTr="0025786C">
        <w:trPr>
          <w:trHeight w:val="345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7.1.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31674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Nafn og heimilisfang vinnustaðar þess einstaklings eða aðila sem óskar eftir að selja verðbréf, staða eða önnur</w:t>
            </w:r>
            <w:r w:rsidR="00316743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mikilvæg tengsl sem seljendur hafa haft við útgefanda undanfarin þrjú ár eða við forvera hans eða tengd</w:t>
            </w:r>
            <w:r w:rsidR="00316743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fyrirtæki.</w:t>
            </w:r>
          </w:p>
        </w:tc>
      </w:tr>
      <w:tr w:rsidR="00D33DD7" w:rsidRPr="0025786C" w:rsidTr="0025786C">
        <w:trPr>
          <w:trHeight w:val="83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7.2.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F34B7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Upplýsingar um fjölda og flokk verðbréfa sem hver verðbréfaeigandi sem vill selja býður til kaups.</w:t>
            </w:r>
          </w:p>
        </w:tc>
      </w:tr>
      <w:tr w:rsidR="00D33DD7" w:rsidRPr="0025786C" w:rsidTr="0025786C">
        <w:trPr>
          <w:trHeight w:val="871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7.3.</w:t>
            </w:r>
          </w:p>
        </w:tc>
        <w:tc>
          <w:tcPr>
            <w:tcW w:w="7659" w:type="dxa"/>
            <w:vAlign w:val="center"/>
          </w:tcPr>
          <w:p w:rsidR="00F34B70" w:rsidRPr="0025786C" w:rsidRDefault="00F34B70" w:rsidP="00F34B7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Samningar um söluhömlur (lock-up agreements)</w:t>
            </w:r>
          </w:p>
          <w:p w:rsidR="00F34B70" w:rsidRPr="0025786C" w:rsidRDefault="00F34B70" w:rsidP="00F34B7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F34B70" w:rsidRPr="0025786C" w:rsidRDefault="00F34B70" w:rsidP="0025786C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Aðilar sem hlut eiga að máli.</w:t>
            </w:r>
          </w:p>
          <w:p w:rsidR="00F34B70" w:rsidRPr="0025786C" w:rsidRDefault="00F34B70" w:rsidP="0025786C">
            <w:pPr>
              <w:autoSpaceDE w:val="0"/>
              <w:autoSpaceDN w:val="0"/>
              <w:adjustRightInd w:val="0"/>
              <w:ind w:left="720" w:firstLine="72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F34B70" w:rsidRPr="0025786C" w:rsidRDefault="00F34B70" w:rsidP="0025786C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Efni samningsins og undantekningar frá honum.</w:t>
            </w:r>
          </w:p>
          <w:p w:rsidR="00F34B70" w:rsidRPr="0025786C" w:rsidRDefault="00F34B70" w:rsidP="0025786C">
            <w:pPr>
              <w:autoSpaceDE w:val="0"/>
              <w:autoSpaceDN w:val="0"/>
              <w:adjustRightInd w:val="0"/>
              <w:ind w:left="720" w:firstLine="72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D33DD7" w:rsidRPr="0025786C" w:rsidRDefault="00F34B70" w:rsidP="0025786C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Upplýsingar um hversu lengi söluhömlur vara.</w:t>
            </w:r>
          </w:p>
        </w:tc>
      </w:tr>
      <w:tr w:rsidR="00D33DD7" w:rsidRPr="0025786C" w:rsidTr="0025786C">
        <w:trPr>
          <w:trHeight w:val="104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8.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AB5C84">
            <w:pPr>
              <w:rPr>
                <w:sz w:val="22"/>
                <w:szCs w:val="22"/>
                <w:lang w:val="is-IS"/>
              </w:rPr>
            </w:pPr>
            <w:r w:rsidRPr="0025786C"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  <w:t>KOSTNAÐUR VEGNA ÚTGÁFU/ÚTBOÐS</w:t>
            </w:r>
          </w:p>
        </w:tc>
      </w:tr>
      <w:tr w:rsidR="00D33DD7" w:rsidRPr="0025786C" w:rsidTr="0025786C">
        <w:trPr>
          <w:trHeight w:val="28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8.1.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AB5C84">
            <w:pPr>
              <w:rPr>
                <w:sz w:val="22"/>
                <w:szCs w:val="22"/>
                <w:lang w:val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Nettósöluandvirði og áætlaður heildarkostnaður vegna útgáfunnar/útboðsins.</w:t>
            </w:r>
          </w:p>
        </w:tc>
      </w:tr>
      <w:tr w:rsidR="00D33DD7" w:rsidRPr="0025786C" w:rsidTr="0025786C">
        <w:trPr>
          <w:trHeight w:val="59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9.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F34B70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  <w:t>ÞYNNING (DILUTION)</w:t>
            </w:r>
          </w:p>
        </w:tc>
      </w:tr>
      <w:tr w:rsidR="00D33DD7" w:rsidRPr="0025786C" w:rsidTr="0025786C">
        <w:trPr>
          <w:trHeight w:val="28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9.1.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F34B7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Fjárhæð og hlutfall tafarlausrar þynningar sem verður vegna útboðsins.</w:t>
            </w:r>
          </w:p>
        </w:tc>
      </w:tr>
      <w:tr w:rsidR="00D33DD7" w:rsidRPr="0025786C" w:rsidTr="0025786C">
        <w:trPr>
          <w:trHeight w:val="77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9.2.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31674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Ef um er að ræða áskriftarútboð til núverandi hluthafa skal tilgreina fjárhæð og hlutfall tafarlausrar þynningar ef</w:t>
            </w:r>
            <w:r w:rsidR="00316743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þeir taka ekki þátt í útboðinu.</w:t>
            </w:r>
          </w:p>
        </w:tc>
      </w:tr>
      <w:tr w:rsidR="00D33DD7" w:rsidRPr="0025786C" w:rsidTr="0025786C">
        <w:trPr>
          <w:trHeight w:val="28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10.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316743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  <w:t>VIÐBÓTARUPPLÝSINGAR</w:t>
            </w:r>
          </w:p>
        </w:tc>
      </w:tr>
      <w:tr w:rsidR="00D33DD7" w:rsidRPr="0025786C" w:rsidTr="0025786C">
        <w:trPr>
          <w:trHeight w:val="63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10.1.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31674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Ef ráðgjafa í tengslum við útgáfu er getið í verðbréfalýsingunni skal birta yfirlýsingu þar sem fram kemur hvert</w:t>
            </w:r>
            <w:r w:rsidR="00316743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hlutverk þeirra hefur verið.</w:t>
            </w:r>
          </w:p>
        </w:tc>
      </w:tr>
      <w:tr w:rsidR="00D33DD7" w:rsidRPr="0025786C" w:rsidTr="0025786C">
        <w:trPr>
          <w:trHeight w:val="427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10.2.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31674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Upplýsingar um önnur gögn í verðbréfalýsingunni sem löggiltir endurskoðendur hafa endurskoðað eða kannað</w:t>
            </w:r>
            <w:r w:rsidR="00316743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og ef endurskoðendur hafa lagt fram skýrslu. Endursögn skýrslunnar eða, með samþykki lögbærs yfirvalds,</w:t>
            </w:r>
            <w:r w:rsidR="00316743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samantekt á henni.</w:t>
            </w:r>
          </w:p>
        </w:tc>
      </w:tr>
      <w:tr w:rsidR="00D33DD7" w:rsidRPr="0025786C" w:rsidTr="0025786C">
        <w:trPr>
          <w:trHeight w:val="524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10.3.</w:t>
            </w:r>
          </w:p>
        </w:tc>
        <w:tc>
          <w:tcPr>
            <w:tcW w:w="7659" w:type="dxa"/>
            <w:vAlign w:val="center"/>
          </w:tcPr>
          <w:p w:rsidR="00F34B70" w:rsidRPr="0025786C" w:rsidRDefault="00F34B70" w:rsidP="0031674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Ef verðbréfalýsing hefur að geyma greinargerð eða skýrslu frá sérfræðingi skal tilgreina nafn þessa einstaklings,</w:t>
            </w:r>
            <w:r w:rsidR="00316743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heimilisfang vinnustaðar, menntun hans og hæfi og hvort hann hafi verulegra hagsmuna að gæta gagnvart</w:t>
            </w:r>
            <w:r w:rsidR="00316743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útgefandanum. Ef skýrslan er samin að beiðni útgefanda skal gefa yfirlýsingu um að slík yfirlýsing eða skýrsla</w:t>
            </w:r>
            <w:r w:rsidR="00316743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fylgi, á hvaða formi og í hvaða samhengi hún er, ásamt samþykki þess einstaklings sem hefur heimilað innihald</w:t>
            </w:r>
          </w:p>
          <w:p w:rsidR="00D33DD7" w:rsidRPr="0025786C" w:rsidRDefault="00F34B70" w:rsidP="0031674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þessa hluta verðbréfalýsingarinnar.</w:t>
            </w:r>
          </w:p>
        </w:tc>
      </w:tr>
      <w:tr w:rsidR="00D33DD7" w:rsidRPr="0025786C" w:rsidTr="0025786C">
        <w:trPr>
          <w:trHeight w:val="196"/>
        </w:trPr>
        <w:tc>
          <w:tcPr>
            <w:tcW w:w="1031" w:type="dxa"/>
          </w:tcPr>
          <w:p w:rsidR="00D33DD7" w:rsidRPr="0025786C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850" w:type="dxa"/>
          </w:tcPr>
          <w:p w:rsidR="00D33DD7" w:rsidRPr="0025786C" w:rsidRDefault="00F34B70">
            <w:pPr>
              <w:rPr>
                <w:b/>
                <w:sz w:val="22"/>
                <w:szCs w:val="22"/>
                <w:lang w:val="is-IS"/>
              </w:rPr>
            </w:pPr>
            <w:r w:rsidRPr="0025786C">
              <w:rPr>
                <w:b/>
                <w:sz w:val="22"/>
                <w:szCs w:val="22"/>
                <w:lang w:val="is-IS"/>
              </w:rPr>
              <w:t>10.4.</w:t>
            </w:r>
          </w:p>
        </w:tc>
        <w:tc>
          <w:tcPr>
            <w:tcW w:w="7659" w:type="dxa"/>
            <w:vAlign w:val="center"/>
          </w:tcPr>
          <w:p w:rsidR="00D33DD7" w:rsidRPr="0025786C" w:rsidRDefault="00F34B70" w:rsidP="0031674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Ef upplýsingar eru fengnar frá þriðja aðila skal útgefandi, að svo miklu leyti sem honum er kunnugt um og</w:t>
            </w:r>
            <w:r w:rsidR="00316743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honum er unnt, út frá þeim upplýsingum sem þriðji aðilinn hefur birt, láta í té staðfestingu þess efnis að</w:t>
            </w:r>
            <w:r w:rsidR="00316743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upplýsingarnar séu réttar og að engum staðreyndum sé sleppt sem geri upplýsingarnar ónákvæmar eða</w:t>
            </w:r>
            <w:r w:rsidR="00316743"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25786C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misvísandi. Þar að auki skal tilgreina uppruna upplýsinganna.</w:t>
            </w:r>
          </w:p>
        </w:tc>
      </w:tr>
    </w:tbl>
    <w:p w:rsidR="00D33DD7" w:rsidRPr="00D33DD7" w:rsidRDefault="00D33DD7">
      <w:pPr>
        <w:rPr>
          <w:lang w:val="is-IS"/>
        </w:rPr>
      </w:pPr>
    </w:p>
    <w:sectPr w:rsidR="00D33DD7" w:rsidRPr="00D33DD7" w:rsidSect="0057424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9D8" w:rsidRDefault="004359D8">
      <w:r>
        <w:separator/>
      </w:r>
    </w:p>
  </w:endnote>
  <w:endnote w:type="continuationSeparator" w:id="0">
    <w:p w:rsidR="004359D8" w:rsidRDefault="0043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D8" w:rsidRPr="005D0256" w:rsidRDefault="004359D8" w:rsidP="005D0256">
    <w:pPr>
      <w:pStyle w:val="Footer"/>
      <w:jc w:val="center"/>
      <w:rPr>
        <w:sz w:val="20"/>
        <w:szCs w:val="20"/>
      </w:rPr>
    </w:pPr>
    <w:r w:rsidRPr="005D0256">
      <w:rPr>
        <w:sz w:val="20"/>
        <w:szCs w:val="20"/>
      </w:rPr>
      <w:fldChar w:fldCharType="begin"/>
    </w:r>
    <w:r w:rsidRPr="005D0256">
      <w:rPr>
        <w:sz w:val="20"/>
        <w:szCs w:val="20"/>
      </w:rPr>
      <w:instrText xml:space="preserve"> PAGE </w:instrText>
    </w:r>
    <w:r w:rsidRPr="005D0256">
      <w:rPr>
        <w:sz w:val="20"/>
        <w:szCs w:val="20"/>
      </w:rPr>
      <w:fldChar w:fldCharType="separate"/>
    </w:r>
    <w:r w:rsidR="0025786C">
      <w:rPr>
        <w:noProof/>
        <w:sz w:val="20"/>
        <w:szCs w:val="20"/>
      </w:rPr>
      <w:t>1</w:t>
    </w:r>
    <w:r w:rsidRPr="005D0256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D8" w:rsidRDefault="004359D8" w:rsidP="005D0256">
    <w:pPr>
      <w:pStyle w:val="Footer"/>
      <w:jc w:val="center"/>
    </w:pPr>
    <w:r w:rsidRPr="005D0256">
      <w:rPr>
        <w:sz w:val="20"/>
        <w:szCs w:val="20"/>
      </w:rPr>
      <w:fldChar w:fldCharType="begin"/>
    </w:r>
    <w:r w:rsidRPr="005D0256">
      <w:rPr>
        <w:sz w:val="20"/>
        <w:szCs w:val="20"/>
      </w:rPr>
      <w:instrText xml:space="preserve"> PAGE </w:instrText>
    </w:r>
    <w:r w:rsidRPr="005D0256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5D025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9D8" w:rsidRDefault="004359D8">
      <w:r>
        <w:separator/>
      </w:r>
    </w:p>
  </w:footnote>
  <w:footnote w:type="continuationSeparator" w:id="0">
    <w:p w:rsidR="004359D8" w:rsidRDefault="00435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D8" w:rsidRPr="007A3D9E" w:rsidRDefault="0025786C" w:rsidP="00574245">
    <w:pPr>
      <w:pStyle w:val="Header"/>
      <w:tabs>
        <w:tab w:val="clear" w:pos="9072"/>
        <w:tab w:val="right" w:pos="9214"/>
      </w:tabs>
      <w:ind w:left="-284"/>
      <w:rPr>
        <w:sz w:val="16"/>
        <w:szCs w:val="16"/>
        <w:lang w:val="is-I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50" type="#_x0000_t75" style="position:absolute;left:0;text-align:left;margin-left:172.85pt;margin-top:-4.6pt;width:124.95pt;height:43.1pt;z-index:251658240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"/>
          <w10:anchorlock/>
        </v:shape>
      </w:pict>
    </w:r>
    <w:r w:rsidR="004359D8" w:rsidRPr="00862F31">
      <w:rPr>
        <w:lang w:val="is-IS"/>
      </w:rPr>
      <w:t>(Málsnúmer)</w:t>
    </w:r>
    <w:r w:rsidR="004359D8" w:rsidRPr="007A3D9E">
      <w:rPr>
        <w:sz w:val="16"/>
        <w:szCs w:val="16"/>
        <w:lang w:val="is-IS"/>
      </w:rPr>
      <w:tab/>
    </w:r>
    <w:r w:rsidR="004359D8" w:rsidRPr="007A3D9E">
      <w:rPr>
        <w:sz w:val="16"/>
        <w:szCs w:val="16"/>
        <w:lang w:val="is-IS"/>
      </w:rPr>
      <w:tab/>
      <w:t>I</w:t>
    </w:r>
    <w:r w:rsidR="004359D8">
      <w:rPr>
        <w:sz w:val="16"/>
        <w:szCs w:val="16"/>
        <w:lang w:val="is-IS"/>
      </w:rPr>
      <w:t>II</w:t>
    </w:r>
    <w:r w:rsidR="004359D8" w:rsidRPr="007A3D9E">
      <w:rPr>
        <w:sz w:val="16"/>
        <w:szCs w:val="16"/>
        <w:lang w:val="is-IS"/>
      </w:rPr>
      <w:t>. Viðauki</w:t>
    </w:r>
  </w:p>
  <w:p w:rsidR="004359D8" w:rsidRPr="007A3D9E" w:rsidRDefault="004359D8" w:rsidP="00574245">
    <w:pPr>
      <w:pStyle w:val="Header"/>
      <w:ind w:left="-284"/>
      <w:rPr>
        <w:sz w:val="16"/>
        <w:szCs w:val="16"/>
        <w:lang w:val="is-IS"/>
      </w:rPr>
    </w:pPr>
    <w:r>
      <w:rPr>
        <w:sz w:val="16"/>
        <w:szCs w:val="16"/>
        <w:lang w:val="is-IS"/>
      </w:rPr>
      <w:t>Verðbréfalýsing</w:t>
    </w:r>
    <w:r w:rsidRPr="007A3D9E">
      <w:rPr>
        <w:sz w:val="16"/>
        <w:szCs w:val="16"/>
        <w:lang w:val="is-IS"/>
      </w:rPr>
      <w:t>, X. drög</w:t>
    </w:r>
  </w:p>
  <w:p w:rsidR="004359D8" w:rsidRPr="007A3D9E" w:rsidRDefault="004359D8" w:rsidP="00574245">
    <w:pPr>
      <w:pStyle w:val="Header"/>
      <w:ind w:left="-284"/>
      <w:rPr>
        <w:sz w:val="16"/>
        <w:szCs w:val="16"/>
        <w:lang w:val="is-IS"/>
      </w:rPr>
    </w:pPr>
    <w:r w:rsidRPr="007A3D9E">
      <w:rPr>
        <w:sz w:val="16"/>
        <w:szCs w:val="16"/>
        <w:lang w:val="is-IS"/>
      </w:rPr>
      <w:t>dags XX.XX.XXXX</w:t>
    </w:r>
  </w:p>
  <w:p w:rsidR="004359D8" w:rsidRPr="00CA74B0" w:rsidRDefault="004359D8" w:rsidP="00574245">
    <w:pPr>
      <w:pStyle w:val="Header"/>
      <w:ind w:left="-28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D8" w:rsidRDefault="0025786C" w:rsidP="002579AE">
    <w:pPr>
      <w:pStyle w:val="Header"/>
      <w:jc w:val="center"/>
    </w:pPr>
    <w:r>
      <w:rPr>
        <w:noProof/>
        <w:lang w:val="is-IS" w:eastAsia="is-I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escription: fme_final_logo.jpg" style="width:108.75pt;height:57.75pt;visibility:visible;mso-wrap-style:square">
          <v:imagedata r:id="rId1" o:title="fme_final_log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832"/>
    <w:multiLevelType w:val="hybridMultilevel"/>
    <w:tmpl w:val="A0A68C5A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4196D"/>
    <w:multiLevelType w:val="hybridMultilevel"/>
    <w:tmpl w:val="1E26DBC6"/>
    <w:lvl w:ilvl="0" w:tplc="418E5AEE">
      <w:start w:val="2"/>
      <w:numFmt w:val="bullet"/>
      <w:lvlText w:val="–"/>
      <w:lvlJc w:val="left"/>
      <w:pPr>
        <w:ind w:left="720" w:hanging="360"/>
      </w:pPr>
      <w:rPr>
        <w:rFonts w:ascii="TimesNewRoman,Bold" w:eastAsia="Times New Roman" w:hAnsi="TimesNewRoman,Bold" w:cs="TimesNewRoman,Bold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63A89"/>
    <w:multiLevelType w:val="hybridMultilevel"/>
    <w:tmpl w:val="A752604E"/>
    <w:lvl w:ilvl="0" w:tplc="418E5AEE">
      <w:start w:val="2"/>
      <w:numFmt w:val="bullet"/>
      <w:lvlText w:val="–"/>
      <w:lvlJc w:val="left"/>
      <w:pPr>
        <w:ind w:left="720" w:hanging="360"/>
      </w:pPr>
      <w:rPr>
        <w:rFonts w:ascii="TimesNewRoman,Bold" w:eastAsia="Times New Roman" w:hAnsi="TimesNewRoman,Bold" w:cs="TimesNewRoman,Bold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60D17"/>
    <w:multiLevelType w:val="hybridMultilevel"/>
    <w:tmpl w:val="A412BF96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84B10"/>
    <w:multiLevelType w:val="hybridMultilevel"/>
    <w:tmpl w:val="CF72F260"/>
    <w:lvl w:ilvl="0" w:tplc="418E5AEE">
      <w:start w:val="2"/>
      <w:numFmt w:val="bullet"/>
      <w:lvlText w:val="–"/>
      <w:lvlJc w:val="left"/>
      <w:pPr>
        <w:ind w:left="720" w:hanging="360"/>
      </w:pPr>
      <w:rPr>
        <w:rFonts w:ascii="TimesNewRoman,Bold" w:eastAsia="Times New Roman" w:hAnsi="TimesNewRoman,Bold" w:cs="TimesNewRoman,Bold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4786B"/>
    <w:multiLevelType w:val="hybridMultilevel"/>
    <w:tmpl w:val="CF18484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FD2"/>
    <w:rsid w:val="0002149A"/>
    <w:rsid w:val="00046FD2"/>
    <w:rsid w:val="00126874"/>
    <w:rsid w:val="001B39BC"/>
    <w:rsid w:val="00221654"/>
    <w:rsid w:val="0025786C"/>
    <w:rsid w:val="002579AE"/>
    <w:rsid w:val="002F75E7"/>
    <w:rsid w:val="00316743"/>
    <w:rsid w:val="003A3562"/>
    <w:rsid w:val="00401E1E"/>
    <w:rsid w:val="004359D8"/>
    <w:rsid w:val="0048355D"/>
    <w:rsid w:val="00574245"/>
    <w:rsid w:val="005D0256"/>
    <w:rsid w:val="00612D48"/>
    <w:rsid w:val="00776B7D"/>
    <w:rsid w:val="007F11A8"/>
    <w:rsid w:val="008477A5"/>
    <w:rsid w:val="009B219D"/>
    <w:rsid w:val="00A8391C"/>
    <w:rsid w:val="00AB5C84"/>
    <w:rsid w:val="00C83FBB"/>
    <w:rsid w:val="00CA74B0"/>
    <w:rsid w:val="00D2155C"/>
    <w:rsid w:val="00D23CF1"/>
    <w:rsid w:val="00D33DD7"/>
    <w:rsid w:val="00DE7E01"/>
    <w:rsid w:val="00E36869"/>
    <w:rsid w:val="00F2171A"/>
    <w:rsid w:val="00F34B70"/>
    <w:rsid w:val="00FD06D0"/>
    <w:rsid w:val="00FD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DD7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3DD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3DD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33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3A229-434C-4AE7-8006-B7C17CE3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2467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III</vt:lpstr>
    </vt:vector>
  </TitlesOfParts>
  <Company>Fjármálaeftirlitið</Company>
  <LinksUpToDate>false</LinksUpToDate>
  <CharactersWithSpaces>16498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cp:keywords/>
  <dc:description/>
  <cp:revision>7</cp:revision>
  <cp:lastPrinted>2011-02-23T09:43:00Z</cp:lastPrinted>
  <dcterms:created xsi:type="dcterms:W3CDTF">2011-02-23T09:50:00Z</dcterms:created>
  <dcterms:modified xsi:type="dcterms:W3CDTF">2011-12-22T16:37:00Z</dcterms:modified>
</cp:coreProperties>
</file>