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CE" w:rsidRPr="009A042C" w:rsidRDefault="007C7115" w:rsidP="00B724CE">
      <w:pPr>
        <w:pStyle w:val="FyrirsgnrauFMEbaratitill"/>
        <w:spacing w:after="120"/>
        <w:jc w:val="center"/>
        <w:rPr>
          <w:rFonts w:ascii="Times New Roman" w:hAnsi="Times New Roman" w:cs="Times New Roman"/>
          <w:color w:val="000000" w:themeColor="text1"/>
          <w:lang w:val="is-IS"/>
        </w:rPr>
      </w:pPr>
      <w:r w:rsidRPr="009A042C">
        <w:rPr>
          <w:rFonts w:ascii="Times New Roman" w:hAnsi="Times New Roman" w:cs="Times New Roman"/>
          <w:color w:val="000000" w:themeColor="text1"/>
          <w:lang w:val="is-IS"/>
        </w:rPr>
        <w:t>10</w:t>
      </w:r>
      <w:r w:rsidR="00B724CE" w:rsidRPr="009A042C">
        <w:rPr>
          <w:rFonts w:ascii="Times New Roman" w:hAnsi="Times New Roman" w:cs="Times New Roman"/>
          <w:color w:val="000000" w:themeColor="text1"/>
          <w:lang w:val="is-IS"/>
        </w:rPr>
        <w:t>. VIÐAUKI</w:t>
      </w:r>
    </w:p>
    <w:p w:rsidR="006C5E8F" w:rsidRPr="009A042C" w:rsidRDefault="006C5E8F" w:rsidP="006C5E8F">
      <w:pPr>
        <w:pStyle w:val="Meginml"/>
        <w:jc w:val="center"/>
        <w:rPr>
          <w:rFonts w:ascii="Times New Roman" w:eastAsia="Times New Roman" w:hAnsi="Times New Roman" w:cs="Times New Roman"/>
          <w:sz w:val="24"/>
          <w:szCs w:val="32"/>
          <w:lang w:eastAsia="en-GB"/>
        </w:rPr>
      </w:pPr>
      <w:r w:rsidRPr="009A042C">
        <w:rPr>
          <w:rFonts w:ascii="Times New Roman" w:eastAsia="Times New Roman" w:hAnsi="Times New Roman" w:cs="Times New Roman"/>
          <w:sz w:val="24"/>
          <w:szCs w:val="32"/>
          <w:lang w:eastAsia="en-GB"/>
        </w:rPr>
        <w:t xml:space="preserve">ÚTGEFANDALÝSING FYRIR VERÐBRÉF SEM EKKI ERU HLUTABRÉFATENGD </w:t>
      </w:r>
      <w:r w:rsidRPr="009A042C">
        <w:rPr>
          <w:rFonts w:ascii="Times New Roman" w:eastAsia="Times New Roman" w:hAnsi="Times New Roman" w:cs="Times New Roman"/>
          <w:sz w:val="24"/>
          <w:szCs w:val="32"/>
          <w:lang w:eastAsia="en-GB"/>
        </w:rPr>
        <w:br/>
        <w:t>OG GEFIN ERU ÚT AF ÞRIÐJU LÖNDUM OG SVÆÐIS- OG STAÐARYFIRVÖLDUM ÞEIRRA</w:t>
      </w:r>
    </w:p>
    <w:p w:rsidR="002C0CFE" w:rsidRPr="009A042C" w:rsidRDefault="007C7115" w:rsidP="006C5E8F">
      <w:pPr>
        <w:pStyle w:val="KaflaheitiFME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A042C">
        <w:rPr>
          <w:rFonts w:ascii="Times New Roman" w:eastAsia="Times New Roman" w:hAnsi="Times New Roman" w:cs="Times New Roman"/>
          <w:sz w:val="20"/>
          <w:szCs w:val="20"/>
          <w:lang w:eastAsia="en-GB"/>
        </w:rPr>
        <w:t>FRAMSELD REGLUGERÐ FRAMKVÆMDASTJÓRNARINNAR (ESB) 2019/980</w:t>
      </w:r>
    </w:p>
    <w:p w:rsidR="007C7115" w:rsidRPr="009A042C" w:rsidRDefault="007C7115" w:rsidP="007C7115">
      <w:pPr>
        <w:pStyle w:val="Meginml"/>
        <w:rPr>
          <w:rFonts w:ascii="Times New Roman" w:hAnsi="Times New Roman" w:cs="Times New Roman"/>
          <w:szCs w:val="20"/>
          <w:lang w:val="is-IS" w:eastAsia="is-IS"/>
        </w:rPr>
      </w:pPr>
      <w:r w:rsidRPr="009A042C">
        <w:rPr>
          <w:rFonts w:ascii="Times New Roman" w:hAnsi="Times New Roman" w:cs="Times New Roman"/>
          <w:szCs w:val="20"/>
          <w:lang w:val="is-IS" w:eastAsia="is-IS"/>
        </w:rPr>
        <w:t>Ef ósamræmi er á milli íslensks og ensks texta framseldrar reglugerðar framkvæmdastjórnarinnar (ESB) 2019/980 skal skýra íslenska textann með hliðsjón af enska textanum. Ef ósamræmi er á milli textans í þessu skjali og texta framseldrar reglugerðar framkvæmdastjórnarinnar (ESB) 2019/980 er það texti reglu</w:t>
      </w:r>
      <w:r w:rsidR="00BB5408" w:rsidRPr="009A042C">
        <w:rPr>
          <w:rFonts w:ascii="Times New Roman" w:hAnsi="Times New Roman" w:cs="Times New Roman"/>
          <w:szCs w:val="20"/>
          <w:lang w:val="is-IS" w:eastAsia="is-IS"/>
        </w:rPr>
        <w:softHyphen/>
      </w:r>
      <w:r w:rsidRPr="009A042C">
        <w:rPr>
          <w:rFonts w:ascii="Times New Roman" w:hAnsi="Times New Roman" w:cs="Times New Roman"/>
          <w:szCs w:val="20"/>
          <w:lang w:val="is-IS" w:eastAsia="is-IS"/>
        </w:rPr>
        <w:t xml:space="preserve">gerðarinnar sem gildir. </w:t>
      </w:r>
      <w:bookmarkStart w:id="0" w:name="_GoBack"/>
      <w:bookmarkEnd w:id="0"/>
    </w:p>
    <w:p w:rsidR="007C7115" w:rsidRPr="009A042C" w:rsidRDefault="007C7115" w:rsidP="007C7115">
      <w:pPr>
        <w:pStyle w:val="Meginml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1134"/>
        <w:gridCol w:w="7371"/>
      </w:tblGrid>
      <w:tr w:rsidR="0056743C" w:rsidRPr="009A042C" w:rsidTr="0056743C">
        <w:tc>
          <w:tcPr>
            <w:tcW w:w="846" w:type="dxa"/>
            <w:tcBorders>
              <w:left w:val="nil"/>
            </w:tcBorders>
          </w:tcPr>
          <w:p w:rsidR="0056743C" w:rsidRPr="009A042C" w:rsidRDefault="0056743C" w:rsidP="0056743C">
            <w:pPr>
              <w:pStyle w:val="Tflutexti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Kafli nr.</w:t>
            </w:r>
          </w:p>
          <w:p w:rsidR="0056743C" w:rsidRPr="009A042C" w:rsidRDefault="0056743C" w:rsidP="0056743C">
            <w:pPr>
              <w:pStyle w:val="Tflutexti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Bls. nr.</w:t>
            </w:r>
          </w:p>
        </w:tc>
        <w:tc>
          <w:tcPr>
            <w:tcW w:w="1134" w:type="dxa"/>
          </w:tcPr>
          <w:p w:rsidR="0056743C" w:rsidRPr="009A042C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1.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56743C" w:rsidRPr="009A042C" w:rsidRDefault="007C711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AÐILAR SEM BERA ÁBYRGÐ, UPPLÝSINGAR FRÁ ÞRIÐJU AÐILUM, SKÝRSLUR SÉRFRÆÐINGA OG STAÐFESTING LÖGBÆRS YFIRVALDS</w:t>
            </w:r>
          </w:p>
        </w:tc>
      </w:tr>
      <w:tr w:rsidR="0056743C" w:rsidRPr="009A042C" w:rsidTr="0056743C">
        <w:tc>
          <w:tcPr>
            <w:tcW w:w="846" w:type="dxa"/>
            <w:tcBorders>
              <w:left w:val="nil"/>
            </w:tcBorders>
          </w:tcPr>
          <w:p w:rsidR="0056743C" w:rsidRPr="009A042C" w:rsidRDefault="0056743C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743C" w:rsidRPr="009A042C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1.1.</w:t>
            </w:r>
          </w:p>
        </w:tc>
        <w:tc>
          <w:tcPr>
            <w:tcW w:w="7371" w:type="dxa"/>
            <w:tcBorders>
              <w:right w:val="nil"/>
            </w:tcBorders>
          </w:tcPr>
          <w:p w:rsidR="0056743C" w:rsidRPr="009A042C" w:rsidRDefault="007C711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Tilgreina skal alla þá sem bera ábyrgð á þeim upplýsingum, eða einhverjum hlutum þeirra, sem veittar eru í útgefandalýsingunni og skal, í síðara tilfellinu, tilgreina slíka hluta upplýsinganna. Sé um að ræða ein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staklinga, þ.m.t. í stjórn, framkvæmdastjórn eða eftirlitsstjórn útgefanda, skulu þeir tilgreindir með nafni og stöðuheiti. Sé um að ræða lögaðila skal tilgreina nafn þeirra og skráða skrifstofu.</w:t>
            </w:r>
          </w:p>
        </w:tc>
      </w:tr>
      <w:tr w:rsidR="0056743C" w:rsidRPr="009A042C" w:rsidTr="0056743C">
        <w:tc>
          <w:tcPr>
            <w:tcW w:w="846" w:type="dxa"/>
            <w:tcBorders>
              <w:left w:val="nil"/>
            </w:tcBorders>
          </w:tcPr>
          <w:p w:rsidR="0056743C" w:rsidRPr="009A042C" w:rsidRDefault="0056743C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743C" w:rsidRPr="009A042C" w:rsidRDefault="0056743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1.2.</w:t>
            </w:r>
          </w:p>
        </w:tc>
        <w:tc>
          <w:tcPr>
            <w:tcW w:w="7371" w:type="dxa"/>
            <w:tcBorders>
              <w:right w:val="nil"/>
            </w:tcBorders>
          </w:tcPr>
          <w:p w:rsidR="007C7115" w:rsidRPr="009A042C" w:rsidRDefault="007C7115" w:rsidP="007C711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Yfirlýsing þeirra sem bera ábyrgð á útgefandalýsingu þess efnis að samkvæmt þeirra bestu vitund séu upplýsingarnar í útgefandalýsingunni í samræmi við staðreyndir og að engum upplýsingum sé sleppt úr henni sem gætu haft áhrif á áreiðanleika hennar.</w:t>
            </w:r>
          </w:p>
          <w:p w:rsidR="0056743C" w:rsidRPr="009A042C" w:rsidRDefault="007C7115" w:rsidP="007C711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Eftir atvikum, yfirlýsing þeirra sem bera ábyrgð á tilteknum hlutum útgefandalýsingarinnar þess efnis að samkvæmt þeirra bestu vitund séu upplýsingarnar í þeim hlutum útgefandalýsingarinnar sem þeir bera ábyrgð á, í samræmi við staðreyndir og að engum upplýsingum sé sleppt úr þeim hlutum sem gætu haft áhrif á áreiðanleika hennar.</w:t>
            </w:r>
          </w:p>
        </w:tc>
      </w:tr>
      <w:tr w:rsidR="00140D45" w:rsidRPr="009A042C" w:rsidTr="0056743C">
        <w:tc>
          <w:tcPr>
            <w:tcW w:w="846" w:type="dxa"/>
            <w:tcBorders>
              <w:left w:val="nil"/>
            </w:tcBorders>
          </w:tcPr>
          <w:p w:rsidR="00140D45" w:rsidRPr="009A042C" w:rsidRDefault="00140D45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D45" w:rsidRPr="009A042C" w:rsidRDefault="00140D4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1.3.</w:t>
            </w:r>
          </w:p>
        </w:tc>
        <w:tc>
          <w:tcPr>
            <w:tcW w:w="7371" w:type="dxa"/>
            <w:tcBorders>
              <w:right w:val="nil"/>
            </w:tcBorders>
          </w:tcPr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Hafi verðbréfalýsing að geyma yfirlýsingu eða greinargerð frá sérfræðingi skal veita eftirfarandi upplýs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ingar um þann aðila:</w:t>
            </w:r>
          </w:p>
          <w:p w:rsidR="00140D45" w:rsidRPr="009A042C" w:rsidRDefault="00140D45" w:rsidP="00140D45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nafn slíks einstaklings,</w:t>
            </w:r>
          </w:p>
          <w:p w:rsidR="00140D45" w:rsidRPr="009A042C" w:rsidRDefault="00140D45" w:rsidP="00140D4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heimilisfang starfsstöðvar,</w:t>
            </w:r>
          </w:p>
          <w:p w:rsidR="00140D45" w:rsidRPr="009A042C" w:rsidRDefault="00140D45" w:rsidP="00140D4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menntun og hæfi,</w:t>
            </w:r>
          </w:p>
          <w:p w:rsidR="00140D45" w:rsidRPr="009A042C" w:rsidRDefault="00140D45" w:rsidP="00140D45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verulegir hagsmunir sem hann á að gæta í útgefanda, ef einhverjir eru.</w:t>
            </w:r>
          </w:p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Hafi yfirlýsingin eða greinargerðin verið gerð að beiðni útgefandans skal taka fram að sú yfirlýsing eða greinargerð fylgi með í útgefandalýsingunni með samþykki þess aðila sem heimilaði efni þess hluta út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gefandalýsingarinnar vegna lýsingarinnar.</w:t>
            </w:r>
          </w:p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Að því marki sem útgefanda er kunnugt um skal greina frá hvers kyns hagsmunaárekstrum sem tengjast slíkum sérfræðingi og kunna að hafa áhrif á óhæði hans við gerð skýrslunnar.</w:t>
            </w:r>
          </w:p>
        </w:tc>
      </w:tr>
      <w:tr w:rsidR="00140D45" w:rsidRPr="009A042C" w:rsidTr="0056743C">
        <w:tc>
          <w:tcPr>
            <w:tcW w:w="846" w:type="dxa"/>
            <w:tcBorders>
              <w:left w:val="nil"/>
            </w:tcBorders>
          </w:tcPr>
          <w:p w:rsidR="00140D45" w:rsidRPr="009A042C" w:rsidRDefault="00140D45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D45" w:rsidRPr="009A042C" w:rsidRDefault="00140D4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1.4.</w:t>
            </w:r>
          </w:p>
        </w:tc>
        <w:tc>
          <w:tcPr>
            <w:tcW w:w="7371" w:type="dxa"/>
            <w:tcBorders>
              <w:right w:val="nil"/>
            </w:tcBorders>
          </w:tcPr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Yfirlýsing þess efnis að:</w:t>
            </w:r>
          </w:p>
          <w:p w:rsidR="00140D45" w:rsidRPr="009A042C" w:rsidRDefault="00140D45" w:rsidP="00140D45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[útgefandalýsingin/lýsingin] hafi verið staðfest af [heiti lögbærs yfirvalds] sem lögbæru yfirvaldi sam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kvæmt reglugerð (ESB) 2017/1129,</w:t>
            </w:r>
          </w:p>
          <w:p w:rsidR="00140D45" w:rsidRPr="009A042C" w:rsidRDefault="00140D45" w:rsidP="00140D4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[heiti lögbærs yfirvalds] staðfesti aðeins viðkomandi [útgefandalýsingu/lýsingu] í þeim skilningi að hún uppfylli þær kröfur um að vera fullnægjandi, skiljanleg og samkvæm sem kveðið er á um í reglu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gerð (ESB) 2017/1129,</w:t>
            </w:r>
          </w:p>
          <w:p w:rsidR="00140D45" w:rsidRPr="009A042C" w:rsidRDefault="00140D45" w:rsidP="00140D45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ekki beri að líta á slíka staðfestingu sem stuðning við útgefandann sem viðkomandi [útgefanda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lýsing/lýsing] varðar.</w:t>
            </w:r>
          </w:p>
        </w:tc>
      </w:tr>
      <w:tr w:rsidR="00140D45" w:rsidRPr="009A042C" w:rsidTr="0056743C">
        <w:tc>
          <w:tcPr>
            <w:tcW w:w="846" w:type="dxa"/>
            <w:tcBorders>
              <w:left w:val="nil"/>
            </w:tcBorders>
          </w:tcPr>
          <w:p w:rsidR="00140D45" w:rsidRPr="009A042C" w:rsidRDefault="00140D45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D45" w:rsidRPr="009A042C" w:rsidRDefault="00140D4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2.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140D45" w:rsidRPr="009A042C" w:rsidRDefault="00140D45" w:rsidP="007C711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ÁHÆTTUÞÆTTIR</w:t>
            </w:r>
          </w:p>
        </w:tc>
      </w:tr>
      <w:tr w:rsidR="00140D45" w:rsidRPr="009A042C" w:rsidTr="0056743C">
        <w:tc>
          <w:tcPr>
            <w:tcW w:w="846" w:type="dxa"/>
            <w:tcBorders>
              <w:left w:val="nil"/>
            </w:tcBorders>
          </w:tcPr>
          <w:p w:rsidR="00140D45" w:rsidRPr="009A042C" w:rsidRDefault="00140D45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D45" w:rsidRPr="009A042C" w:rsidRDefault="00140D45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2.1.</w:t>
            </w:r>
          </w:p>
        </w:tc>
        <w:tc>
          <w:tcPr>
            <w:tcW w:w="7371" w:type="dxa"/>
            <w:tcBorders>
              <w:right w:val="nil"/>
            </w:tcBorders>
          </w:tcPr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Lýsing á verulegri áhættu sem er sértæk fyrir útgefandann, í takmörkuðum fjölda flokka, í kafla með fyrirsögnina „Áhættuþættir“.</w:t>
            </w:r>
          </w:p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Í hverjum flokki skal fyrst telja upp alvarlegustu áhættuþættina að mati útgefanda, tilboðsgjafa eða þess sem sækir um töku til viðskipta á skipulegum markaði, að teknu tilliti til neikvæðra áhrifa á útgefandann og líkanna á að þeir raungerist.</w:t>
            </w:r>
          </w:p>
          <w:p w:rsidR="00140D45" w:rsidRPr="009A042C" w:rsidRDefault="00140D45" w:rsidP="00140D4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Áhættuþættirnir skulu staðfestir með efni útgefandalýsingarinnar.</w:t>
            </w:r>
          </w:p>
        </w:tc>
      </w:tr>
      <w:tr w:rsidR="00140D45" w:rsidRPr="009A042C" w:rsidTr="0056743C">
        <w:tc>
          <w:tcPr>
            <w:tcW w:w="846" w:type="dxa"/>
            <w:tcBorders>
              <w:left w:val="nil"/>
            </w:tcBorders>
          </w:tcPr>
          <w:p w:rsidR="00140D45" w:rsidRPr="009A042C" w:rsidRDefault="00140D45" w:rsidP="0056743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0D45" w:rsidRPr="009A042C" w:rsidRDefault="00694B8C" w:rsidP="0056743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3.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140D45" w:rsidRPr="009A042C" w:rsidRDefault="00694B8C" w:rsidP="007C711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UPPLÝSINGAR UM ÚTGEFANDA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3.1.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Saga og þróun útgefanda</w:t>
            </w:r>
          </w:p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Lögheiti útgefanda og stutt lýsing á stöðu hans innan hins opinbera.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3.2.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Lögheimili eða landfræðileg staðsetning og rekstrarform útgefanda að lögum og heimilisfang til sam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skipta, símanúmer og vefsetur útgefanda, sé það fyrir hendi, með þeim fyrirvara að upplýsingarnar á vefsetrinu séu ekki hluti af lýsingunni nema þær séu felldar með tilvísun inn í lýsinguna.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3.3.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Hvers kyns nýlegir atburðir sem skipta verulegu máli við mat á gjaldþoli útgefanda.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tabs>
                <w:tab w:val="left" w:pos="5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3.4.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Lýsing á hagkerfi útgefanda, þ.m.t.:</w:t>
            </w:r>
          </w:p>
          <w:p w:rsidR="00694B8C" w:rsidRPr="009A042C" w:rsidRDefault="00694B8C" w:rsidP="00694B8C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uppbygging hagkerfisins ásamt upplýsingum um helstu greinar atvinnulífsins,</w:t>
            </w:r>
          </w:p>
          <w:p w:rsidR="00694B8C" w:rsidRPr="009A042C" w:rsidRDefault="00694B8C" w:rsidP="00694B8C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verg landsframleiðsla með sundurliðun eftir greinum atvinnulífs útgefanda á tveimur næstliðnum fjárhagsárum.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3.5.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Almenn lýsing á stjórnmálakerfi og stjórnarfari útgefanda, þ.m.t. ítarlegar upplýsingar um stjórn út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gefanda.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3.6.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694B8C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Lánshæfiseinkunnir útgefanda sem gefnar eru að beiðni hans eða með samstarfi hans í matsferlinu.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DC5D95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4.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DC5D95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OPINBER FJÁRMÁL OG VIÐSKIPTI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DC5D95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4.1.</w:t>
            </w:r>
          </w:p>
        </w:tc>
        <w:tc>
          <w:tcPr>
            <w:tcW w:w="7371" w:type="dxa"/>
            <w:tcBorders>
              <w:right w:val="nil"/>
            </w:tcBorders>
          </w:tcPr>
          <w:p w:rsidR="00DC5D95" w:rsidRPr="009A042C" w:rsidRDefault="00DC5D95" w:rsidP="00DC5D9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Upplýsingar um eftirfarandi fyrir tvö næstliðin fjárhagsár fyrir dagsetningu útgefandalýsingar:</w:t>
            </w:r>
          </w:p>
          <w:p w:rsidR="00DC5D95" w:rsidRPr="009A042C" w:rsidRDefault="00DC5D95" w:rsidP="00DC5D95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skatt- og fjárlagakerfi,</w:t>
            </w:r>
          </w:p>
          <w:p w:rsidR="00DC5D95" w:rsidRPr="009A042C" w:rsidRDefault="00DC5D95" w:rsidP="00DC5D9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vergar, skuldir hins opinbera, þ.m.t. samantekt skuldanna, dreifing eftirstöðva (e. </w:t>
            </w:r>
            <w:proofErr w:type="spellStart"/>
            <w:r w:rsidRPr="009A04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maturity</w:t>
            </w:r>
            <w:proofErr w:type="spellEnd"/>
            <w:r w:rsidRPr="009A04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A042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structure</w:t>
            </w:r>
            <w:proofErr w:type="spellEnd"/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) útistandandi skulda (einkum skulda með styttri eftirstöðvatíma en eitt ár) og fyrri saga um endur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greiðslu skulda og þeir hlutar skuldanna sem eru í innlendum gjaldmiðli útgefanda og erlendum gjald</w:t>
            </w:r>
            <w:r w:rsidR="00BB5408" w:rsidRPr="009A042C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miðlum,</w:t>
            </w:r>
          </w:p>
          <w:p w:rsidR="00DC5D95" w:rsidRPr="009A042C" w:rsidRDefault="00DC5D95" w:rsidP="00DC5D9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tölur um utanríkisviðskipti og greiðslujöfnuð,</w:t>
            </w:r>
          </w:p>
          <w:p w:rsidR="00DC5D95" w:rsidRPr="009A042C" w:rsidRDefault="00DC5D95" w:rsidP="00DC5D9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gjaldeyrisforði , þ.m.t. mögulegar kvaðir sem fylgja honum í tengslum við framvirka samninga eða afleiður,</w:t>
            </w:r>
          </w:p>
          <w:p w:rsidR="00DC5D95" w:rsidRPr="009A042C" w:rsidRDefault="00DC5D95" w:rsidP="00DC5D95">
            <w:pPr>
              <w:pStyle w:val="Tflutexti"/>
              <w:spacing w:before="0"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fjárhagsstaða og tiltækt fjármagn, þ.m.t. lausar innstæður í innlendum gjaldmiðli,</w:t>
            </w:r>
          </w:p>
          <w:p w:rsidR="00DC5D95" w:rsidRPr="009A042C" w:rsidRDefault="00DC5D95" w:rsidP="00DC5D95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tölur um tekjur og útgjöld.</w:t>
            </w:r>
          </w:p>
          <w:p w:rsidR="00694B8C" w:rsidRPr="009A042C" w:rsidRDefault="00DC5D95" w:rsidP="00DC5D95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Lýsing á fyrirkomulagi endurskoðunar eða óháðra kannana á reikningum útgefanda.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5.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MIKILVÆGAR BREYTINGAR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5.1.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Upplýsingar um mikilvægar breytingar á upplýsingum, sem veittar eru skv. 4. lið, sem hafa átt sér stað frá lokum síðasta reikningsárs eða yfirlýsing um að slíkar breytingar hafi ekki átt sér stað.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6.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DÓMSMÁL OG GERÐARDÓMSMÁL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6.1.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Upplýsingar um stjórnsýslu-, dóms- eða gerðardómsmál (þ.m.t. þau mál sem bíða meðferðar eða eru yfirvofandi og útgefanda er kunnugt um) á a.m.k. síðustu tólf mánuðum sem kunna að hafa eða hafa nýlega haft veruleg áhrif á fjárhagsstöðu útgefanda eða yfirlýsing um að ekki sé um slík mál að ræða.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6.2.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787550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Upplýsingar um undanþágur sem útgefandi nýtur í dómsmálum.</w:t>
            </w:r>
          </w:p>
        </w:tc>
      </w:tr>
      <w:tr w:rsidR="00694B8C" w:rsidRPr="009A042C" w:rsidTr="0056743C">
        <w:tc>
          <w:tcPr>
            <w:tcW w:w="846" w:type="dxa"/>
            <w:tcBorders>
              <w:left w:val="nil"/>
            </w:tcBorders>
          </w:tcPr>
          <w:p w:rsidR="00694B8C" w:rsidRPr="009A042C" w:rsidRDefault="00694B8C" w:rsidP="00694B8C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4B8C" w:rsidRPr="009A042C" w:rsidRDefault="00E415C7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7. ÞÁTTUR</w:t>
            </w:r>
          </w:p>
        </w:tc>
        <w:tc>
          <w:tcPr>
            <w:tcW w:w="7371" w:type="dxa"/>
            <w:tcBorders>
              <w:right w:val="nil"/>
            </w:tcBorders>
          </w:tcPr>
          <w:p w:rsidR="00694B8C" w:rsidRPr="009A042C" w:rsidRDefault="00E415C7" w:rsidP="00694B8C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TILTÆK SKJÖL</w:t>
            </w:r>
          </w:p>
        </w:tc>
      </w:tr>
      <w:tr w:rsidR="00E415C7" w:rsidRPr="009A042C" w:rsidTr="0056743C">
        <w:tc>
          <w:tcPr>
            <w:tcW w:w="846" w:type="dxa"/>
            <w:tcBorders>
              <w:left w:val="nil"/>
            </w:tcBorders>
          </w:tcPr>
          <w:p w:rsidR="00E415C7" w:rsidRPr="009A042C" w:rsidRDefault="00E415C7" w:rsidP="00E415C7">
            <w:pPr>
              <w:pStyle w:val="Meginm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415C7" w:rsidRPr="009A042C" w:rsidRDefault="00E415C7" w:rsidP="00E415C7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Liður 7.1.</w:t>
            </w:r>
          </w:p>
        </w:tc>
        <w:tc>
          <w:tcPr>
            <w:tcW w:w="7371" w:type="dxa"/>
            <w:tcBorders>
              <w:right w:val="nil"/>
            </w:tcBorders>
          </w:tcPr>
          <w:p w:rsidR="00E415C7" w:rsidRPr="009A042C" w:rsidRDefault="00E415C7" w:rsidP="00E415C7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Yfirlýsing um að á gildistíma útgefandalýsingar sé heimilt, eftir atvikum, að skoða eftirfarandi skjöl:</w:t>
            </w:r>
          </w:p>
          <w:p w:rsidR="00E415C7" w:rsidRPr="009A042C" w:rsidRDefault="00E415C7" w:rsidP="00E415C7">
            <w:pPr>
              <w:pStyle w:val="Tflutexti"/>
              <w:spacing w:after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reikningsskil og áritanir endurskoðenda fyrir útgefanda sem taka til síðastliðinna tveggja reikningsára og fjárhagsáætlun yfirstandandi reikningsárs,</w:t>
            </w:r>
          </w:p>
          <w:p w:rsidR="00E415C7" w:rsidRPr="009A042C" w:rsidRDefault="00E415C7" w:rsidP="00E415C7">
            <w:pPr>
              <w:pStyle w:val="Tflutexti"/>
              <w:spacing w:before="0"/>
              <w:ind w:left="323" w:hanging="323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ab/>
              <w:t>allar skýrslur, bréf og önnur skjöl, mats- og greinargerðir sem eru samdar af sérfræðingum að beiðni útgefanda og að einhverju leyti eru felld inn í eða er vísað til í útgefandalýsingu.</w:t>
            </w:r>
          </w:p>
          <w:p w:rsidR="00E415C7" w:rsidRPr="009A042C" w:rsidRDefault="00E415C7" w:rsidP="00E415C7">
            <w:pPr>
              <w:pStyle w:val="Tflutexti"/>
              <w:rPr>
                <w:rFonts w:ascii="Times New Roman" w:hAnsi="Times New Roman" w:cs="Times New Roman"/>
                <w:sz w:val="18"/>
                <w:szCs w:val="18"/>
              </w:rPr>
            </w:pPr>
            <w:r w:rsidRPr="009A042C">
              <w:rPr>
                <w:rFonts w:ascii="Times New Roman" w:hAnsi="Times New Roman" w:cs="Times New Roman"/>
                <w:sz w:val="18"/>
                <w:szCs w:val="18"/>
              </w:rPr>
              <w:t>Tilgreina skal vefsetur þar sem hægt er að skoða skjölin.</w:t>
            </w:r>
          </w:p>
        </w:tc>
      </w:tr>
    </w:tbl>
    <w:p w:rsidR="0056743C" w:rsidRPr="009A042C" w:rsidRDefault="0056743C" w:rsidP="0056743C">
      <w:pPr>
        <w:pStyle w:val="Meginml"/>
        <w:rPr>
          <w:rFonts w:ascii="Times New Roman" w:hAnsi="Times New Roman" w:cs="Times New Roman"/>
          <w:sz w:val="18"/>
          <w:szCs w:val="18"/>
        </w:rPr>
      </w:pPr>
    </w:p>
    <w:sectPr w:rsidR="0056743C" w:rsidRPr="009A042C" w:rsidSect="0023476A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985" w:right="1418" w:bottom="1440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3C" w:rsidRDefault="0056743C" w:rsidP="004C2AD6">
      <w:r>
        <w:separator/>
      </w:r>
    </w:p>
  </w:endnote>
  <w:endnote w:type="continuationSeparator" w:id="0">
    <w:p w:rsidR="0056743C" w:rsidRDefault="0056743C" w:rsidP="004C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Pr="00BC06D8" w:rsidRDefault="0056743C" w:rsidP="007F6312">
    <w:pPr>
      <w:pStyle w:val="Footer"/>
      <w:tabs>
        <w:tab w:val="clear" w:pos="9360"/>
        <w:tab w:val="center" w:pos="4532"/>
      </w:tabs>
      <w:rPr>
        <w:i/>
      </w:rPr>
    </w:pPr>
    <w:r w:rsidRPr="007F6312">
      <w:tab/>
    </w:r>
    <w:sdt>
      <w:sdtPr>
        <w:rPr>
          <w:i/>
        </w:rPr>
        <w:id w:val="121507023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 w:rsidRPr="00BC06D8">
          <w:rPr>
            <w:rFonts w:ascii="Syntax LT Std" w:hAnsi="Syntax LT Std"/>
            <w:sz w:val="18"/>
            <w:szCs w:val="18"/>
          </w:rPr>
          <w:fldChar w:fldCharType="begin"/>
        </w:r>
        <w:r w:rsidRPr="00BC06D8">
          <w:rPr>
            <w:rFonts w:ascii="Syntax LT Std" w:hAnsi="Syntax LT Std"/>
            <w:sz w:val="18"/>
            <w:szCs w:val="18"/>
          </w:rPr>
          <w:instrText xml:space="preserve"> PAGE   \* MERGEFORMAT </w:instrText>
        </w:r>
        <w:r w:rsidRPr="00BC06D8">
          <w:rPr>
            <w:rFonts w:ascii="Syntax LT Std" w:hAnsi="Syntax LT Std"/>
            <w:sz w:val="18"/>
            <w:szCs w:val="18"/>
          </w:rPr>
          <w:fldChar w:fldCharType="separate"/>
        </w:r>
        <w:r w:rsidR="009A042C">
          <w:rPr>
            <w:rFonts w:ascii="Syntax LT Std" w:hAnsi="Syntax LT Std"/>
            <w:noProof/>
            <w:sz w:val="18"/>
            <w:szCs w:val="18"/>
          </w:rPr>
          <w:t>3</w:t>
        </w:r>
        <w:r w:rsidRPr="00BC06D8">
          <w:rPr>
            <w:rFonts w:ascii="Syntax LT Std" w:hAnsi="Syntax LT Std"/>
            <w:noProof/>
            <w:sz w:val="18"/>
            <w:szCs w:val="18"/>
          </w:rPr>
          <w:fldChar w:fldCharType="end"/>
        </w:r>
      </w:sdtContent>
    </w:sdt>
    <w:r w:rsidRPr="00BC06D8">
      <w:rPr>
        <w:noProof/>
      </w:rPr>
      <w:tab/>
    </w:r>
    <w:r w:rsidRPr="00BC06D8">
      <w:rPr>
        <w:noProof/>
      </w:rPr>
      <w:tab/>
    </w:r>
  </w:p>
  <w:p w:rsidR="0056743C" w:rsidRPr="007F6312" w:rsidRDefault="0056743C">
    <w:pPr>
      <w:pStyle w:val="Footer"/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Pr="005E0130" w:rsidRDefault="0056743C">
    <w:pPr>
      <w:pStyle w:val="Footer"/>
      <w:jc w:val="center"/>
      <w:rPr>
        <w:rFonts w:ascii="Syntax LT Std" w:hAnsi="Syntax LT Std"/>
        <w:sz w:val="18"/>
        <w:szCs w:val="18"/>
      </w:rPr>
    </w:pPr>
  </w:p>
  <w:p w:rsidR="0056743C" w:rsidRDefault="00567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3C" w:rsidRDefault="0056743C" w:rsidP="004C2AD6">
      <w:r>
        <w:separator/>
      </w:r>
    </w:p>
  </w:footnote>
  <w:footnote w:type="continuationSeparator" w:id="0">
    <w:p w:rsidR="0056743C" w:rsidRDefault="0056743C" w:rsidP="004C2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Default="0056743C">
    <w:pPr>
      <w:pStyle w:val="Header"/>
    </w:pPr>
  </w:p>
  <w:p w:rsidR="0056743C" w:rsidRDefault="0056743C">
    <w:pPr>
      <w:pStyle w:val="Header"/>
    </w:pPr>
    <w:r>
      <w:rPr>
        <w:noProof/>
        <w:lang w:val="is-IS" w:eastAsia="is-IS"/>
      </w:rPr>
      <w:drawing>
        <wp:inline distT="0" distB="0" distL="0" distR="0">
          <wp:extent cx="1728000" cy="216000"/>
          <wp:effectExtent l="0" t="0" r="571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3C" w:rsidRDefault="0056743C">
    <w:pPr>
      <w:pStyle w:val="Header"/>
    </w:pPr>
    <w:r>
      <w:rPr>
        <w:noProof/>
        <w:lang w:val="is-IS" w:eastAsia="is-IS"/>
      </w:rPr>
      <w:drawing>
        <wp:inline distT="0" distB="0" distL="0" distR="0" wp14:anchorId="747FB19C" wp14:editId="61CD99CB">
          <wp:extent cx="2867025" cy="745281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C15"/>
    <w:multiLevelType w:val="hybridMultilevel"/>
    <w:tmpl w:val="7D14FAD6"/>
    <w:lvl w:ilvl="0" w:tplc="57B2CB7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79" w:hanging="360"/>
      </w:pPr>
    </w:lvl>
    <w:lvl w:ilvl="2" w:tplc="040F001B" w:tentative="1">
      <w:start w:val="1"/>
      <w:numFmt w:val="lowerRoman"/>
      <w:lvlText w:val="%3."/>
      <w:lvlJc w:val="right"/>
      <w:pPr>
        <w:ind w:left="1799" w:hanging="180"/>
      </w:pPr>
    </w:lvl>
    <w:lvl w:ilvl="3" w:tplc="040F000F" w:tentative="1">
      <w:start w:val="1"/>
      <w:numFmt w:val="decimal"/>
      <w:lvlText w:val="%4."/>
      <w:lvlJc w:val="left"/>
      <w:pPr>
        <w:ind w:left="2519" w:hanging="360"/>
      </w:pPr>
    </w:lvl>
    <w:lvl w:ilvl="4" w:tplc="040F0019" w:tentative="1">
      <w:start w:val="1"/>
      <w:numFmt w:val="lowerLetter"/>
      <w:lvlText w:val="%5."/>
      <w:lvlJc w:val="left"/>
      <w:pPr>
        <w:ind w:left="3239" w:hanging="360"/>
      </w:pPr>
    </w:lvl>
    <w:lvl w:ilvl="5" w:tplc="040F001B" w:tentative="1">
      <w:start w:val="1"/>
      <w:numFmt w:val="lowerRoman"/>
      <w:lvlText w:val="%6."/>
      <w:lvlJc w:val="right"/>
      <w:pPr>
        <w:ind w:left="3959" w:hanging="180"/>
      </w:pPr>
    </w:lvl>
    <w:lvl w:ilvl="6" w:tplc="040F000F" w:tentative="1">
      <w:start w:val="1"/>
      <w:numFmt w:val="decimal"/>
      <w:lvlText w:val="%7."/>
      <w:lvlJc w:val="left"/>
      <w:pPr>
        <w:ind w:left="4679" w:hanging="360"/>
      </w:pPr>
    </w:lvl>
    <w:lvl w:ilvl="7" w:tplc="040F0019" w:tentative="1">
      <w:start w:val="1"/>
      <w:numFmt w:val="lowerLetter"/>
      <w:lvlText w:val="%8."/>
      <w:lvlJc w:val="left"/>
      <w:pPr>
        <w:ind w:left="5399" w:hanging="360"/>
      </w:pPr>
    </w:lvl>
    <w:lvl w:ilvl="8" w:tplc="040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670757B"/>
    <w:multiLevelType w:val="hybridMultilevel"/>
    <w:tmpl w:val="61FA2120"/>
    <w:lvl w:ilvl="0" w:tplc="2E668F7E">
      <w:start w:val="1"/>
      <w:numFmt w:val="lowerLetter"/>
      <w:lvlText w:val="%1)"/>
      <w:lvlJc w:val="left"/>
      <w:pPr>
        <w:ind w:left="717" w:hanging="4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92" w:hanging="360"/>
      </w:pPr>
    </w:lvl>
    <w:lvl w:ilvl="2" w:tplc="040F001B" w:tentative="1">
      <w:start w:val="1"/>
      <w:numFmt w:val="lowerRoman"/>
      <w:lvlText w:val="%3."/>
      <w:lvlJc w:val="right"/>
      <w:pPr>
        <w:ind w:left="2112" w:hanging="180"/>
      </w:pPr>
    </w:lvl>
    <w:lvl w:ilvl="3" w:tplc="040F000F" w:tentative="1">
      <w:start w:val="1"/>
      <w:numFmt w:val="decimal"/>
      <w:lvlText w:val="%4."/>
      <w:lvlJc w:val="left"/>
      <w:pPr>
        <w:ind w:left="2832" w:hanging="360"/>
      </w:pPr>
    </w:lvl>
    <w:lvl w:ilvl="4" w:tplc="040F0019" w:tentative="1">
      <w:start w:val="1"/>
      <w:numFmt w:val="lowerLetter"/>
      <w:lvlText w:val="%5."/>
      <w:lvlJc w:val="left"/>
      <w:pPr>
        <w:ind w:left="3552" w:hanging="360"/>
      </w:pPr>
    </w:lvl>
    <w:lvl w:ilvl="5" w:tplc="040F001B" w:tentative="1">
      <w:start w:val="1"/>
      <w:numFmt w:val="lowerRoman"/>
      <w:lvlText w:val="%6."/>
      <w:lvlJc w:val="right"/>
      <w:pPr>
        <w:ind w:left="4272" w:hanging="180"/>
      </w:pPr>
    </w:lvl>
    <w:lvl w:ilvl="6" w:tplc="040F000F" w:tentative="1">
      <w:start w:val="1"/>
      <w:numFmt w:val="decimal"/>
      <w:lvlText w:val="%7."/>
      <w:lvlJc w:val="left"/>
      <w:pPr>
        <w:ind w:left="4992" w:hanging="360"/>
      </w:pPr>
    </w:lvl>
    <w:lvl w:ilvl="7" w:tplc="040F0019" w:tentative="1">
      <w:start w:val="1"/>
      <w:numFmt w:val="lowerLetter"/>
      <w:lvlText w:val="%8."/>
      <w:lvlJc w:val="left"/>
      <w:pPr>
        <w:ind w:left="5712" w:hanging="360"/>
      </w:pPr>
    </w:lvl>
    <w:lvl w:ilvl="8" w:tplc="040F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1B0F36EA"/>
    <w:multiLevelType w:val="hybridMultilevel"/>
    <w:tmpl w:val="58B21180"/>
    <w:lvl w:ilvl="0" w:tplc="9078B66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5102"/>
    <w:multiLevelType w:val="hybridMultilevel"/>
    <w:tmpl w:val="37E0139C"/>
    <w:lvl w:ilvl="0" w:tplc="4A5E484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E6CFF"/>
    <w:multiLevelType w:val="multilevel"/>
    <w:tmpl w:val="18329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C925DD"/>
    <w:multiLevelType w:val="hybridMultilevel"/>
    <w:tmpl w:val="2CBA64A2"/>
    <w:lvl w:ilvl="0" w:tplc="213AFC4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4" w:hanging="360"/>
      </w:pPr>
    </w:lvl>
    <w:lvl w:ilvl="2" w:tplc="040F001B" w:tentative="1">
      <w:start w:val="1"/>
      <w:numFmt w:val="lowerRoman"/>
      <w:lvlText w:val="%3."/>
      <w:lvlJc w:val="right"/>
      <w:pPr>
        <w:ind w:left="1844" w:hanging="180"/>
      </w:pPr>
    </w:lvl>
    <w:lvl w:ilvl="3" w:tplc="040F000F" w:tentative="1">
      <w:start w:val="1"/>
      <w:numFmt w:val="decimal"/>
      <w:lvlText w:val="%4."/>
      <w:lvlJc w:val="left"/>
      <w:pPr>
        <w:ind w:left="2564" w:hanging="360"/>
      </w:pPr>
    </w:lvl>
    <w:lvl w:ilvl="4" w:tplc="040F0019" w:tentative="1">
      <w:start w:val="1"/>
      <w:numFmt w:val="lowerLetter"/>
      <w:lvlText w:val="%5."/>
      <w:lvlJc w:val="left"/>
      <w:pPr>
        <w:ind w:left="3284" w:hanging="360"/>
      </w:pPr>
    </w:lvl>
    <w:lvl w:ilvl="5" w:tplc="040F001B" w:tentative="1">
      <w:start w:val="1"/>
      <w:numFmt w:val="lowerRoman"/>
      <w:lvlText w:val="%6."/>
      <w:lvlJc w:val="right"/>
      <w:pPr>
        <w:ind w:left="4004" w:hanging="180"/>
      </w:pPr>
    </w:lvl>
    <w:lvl w:ilvl="6" w:tplc="040F000F" w:tentative="1">
      <w:start w:val="1"/>
      <w:numFmt w:val="decimal"/>
      <w:lvlText w:val="%7."/>
      <w:lvlJc w:val="left"/>
      <w:pPr>
        <w:ind w:left="4724" w:hanging="360"/>
      </w:pPr>
    </w:lvl>
    <w:lvl w:ilvl="7" w:tplc="040F0019" w:tentative="1">
      <w:start w:val="1"/>
      <w:numFmt w:val="lowerLetter"/>
      <w:lvlText w:val="%8."/>
      <w:lvlJc w:val="left"/>
      <w:pPr>
        <w:ind w:left="5444" w:hanging="360"/>
      </w:pPr>
    </w:lvl>
    <w:lvl w:ilvl="8" w:tplc="040F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6" w15:restartNumberingAfterBreak="0">
    <w:nsid w:val="42A97DF5"/>
    <w:multiLevelType w:val="hybridMultilevel"/>
    <w:tmpl w:val="D0026DEE"/>
    <w:lvl w:ilvl="0" w:tplc="662C4306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7A36A19"/>
    <w:multiLevelType w:val="hybridMultilevel"/>
    <w:tmpl w:val="77D48A1C"/>
    <w:lvl w:ilvl="0" w:tplc="27D2FD8C">
      <w:start w:val="1"/>
      <w:numFmt w:val="lowerLetter"/>
      <w:lvlText w:val="%1)"/>
      <w:lvlJc w:val="left"/>
      <w:pPr>
        <w:ind w:left="716" w:hanging="6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06" w:hanging="360"/>
      </w:pPr>
    </w:lvl>
    <w:lvl w:ilvl="2" w:tplc="040F001B" w:tentative="1">
      <w:start w:val="1"/>
      <w:numFmt w:val="lowerRoman"/>
      <w:lvlText w:val="%3."/>
      <w:lvlJc w:val="right"/>
      <w:pPr>
        <w:ind w:left="1826" w:hanging="180"/>
      </w:pPr>
    </w:lvl>
    <w:lvl w:ilvl="3" w:tplc="040F000F" w:tentative="1">
      <w:start w:val="1"/>
      <w:numFmt w:val="decimal"/>
      <w:lvlText w:val="%4."/>
      <w:lvlJc w:val="left"/>
      <w:pPr>
        <w:ind w:left="2546" w:hanging="360"/>
      </w:pPr>
    </w:lvl>
    <w:lvl w:ilvl="4" w:tplc="040F0019" w:tentative="1">
      <w:start w:val="1"/>
      <w:numFmt w:val="lowerLetter"/>
      <w:lvlText w:val="%5."/>
      <w:lvlJc w:val="left"/>
      <w:pPr>
        <w:ind w:left="3266" w:hanging="360"/>
      </w:pPr>
    </w:lvl>
    <w:lvl w:ilvl="5" w:tplc="040F001B" w:tentative="1">
      <w:start w:val="1"/>
      <w:numFmt w:val="lowerRoman"/>
      <w:lvlText w:val="%6."/>
      <w:lvlJc w:val="right"/>
      <w:pPr>
        <w:ind w:left="3986" w:hanging="180"/>
      </w:pPr>
    </w:lvl>
    <w:lvl w:ilvl="6" w:tplc="040F000F" w:tentative="1">
      <w:start w:val="1"/>
      <w:numFmt w:val="decimal"/>
      <w:lvlText w:val="%7."/>
      <w:lvlJc w:val="left"/>
      <w:pPr>
        <w:ind w:left="4706" w:hanging="360"/>
      </w:pPr>
    </w:lvl>
    <w:lvl w:ilvl="7" w:tplc="040F0019" w:tentative="1">
      <w:start w:val="1"/>
      <w:numFmt w:val="lowerLetter"/>
      <w:lvlText w:val="%8."/>
      <w:lvlJc w:val="left"/>
      <w:pPr>
        <w:ind w:left="5426" w:hanging="360"/>
      </w:pPr>
    </w:lvl>
    <w:lvl w:ilvl="8" w:tplc="040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8" w15:restartNumberingAfterBreak="0">
    <w:nsid w:val="53116F73"/>
    <w:multiLevelType w:val="multilevel"/>
    <w:tmpl w:val="B6743676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57D18"/>
    <w:multiLevelType w:val="hybridMultilevel"/>
    <w:tmpl w:val="C7C8DA12"/>
    <w:lvl w:ilvl="0" w:tplc="1E26F99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20449"/>
    <w:multiLevelType w:val="hybridMultilevel"/>
    <w:tmpl w:val="25B04A6A"/>
    <w:lvl w:ilvl="0" w:tplc="91EA6C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F31D1"/>
    <w:multiLevelType w:val="hybridMultilevel"/>
    <w:tmpl w:val="77AA50C0"/>
    <w:lvl w:ilvl="0" w:tplc="7C7C454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02FAB"/>
    <w:multiLevelType w:val="hybridMultilevel"/>
    <w:tmpl w:val="A4CCC57E"/>
    <w:lvl w:ilvl="0" w:tplc="6F9E9CB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12"/>
    <w:rsid w:val="00004000"/>
    <w:rsid w:val="000117D6"/>
    <w:rsid w:val="00016CB1"/>
    <w:rsid w:val="000472F2"/>
    <w:rsid w:val="00071910"/>
    <w:rsid w:val="0008056E"/>
    <w:rsid w:val="000969A7"/>
    <w:rsid w:val="000B1246"/>
    <w:rsid w:val="000C4A85"/>
    <w:rsid w:val="000E3F84"/>
    <w:rsid w:val="000F41BB"/>
    <w:rsid w:val="00110951"/>
    <w:rsid w:val="00112D07"/>
    <w:rsid w:val="00115C50"/>
    <w:rsid w:val="00124A1D"/>
    <w:rsid w:val="00124A7B"/>
    <w:rsid w:val="00140D45"/>
    <w:rsid w:val="00145496"/>
    <w:rsid w:val="0015527B"/>
    <w:rsid w:val="00166A8A"/>
    <w:rsid w:val="00173F0B"/>
    <w:rsid w:val="001900B4"/>
    <w:rsid w:val="00193857"/>
    <w:rsid w:val="00193BC3"/>
    <w:rsid w:val="001A4B41"/>
    <w:rsid w:val="001C014B"/>
    <w:rsid w:val="001E5E3E"/>
    <w:rsid w:val="001F20DA"/>
    <w:rsid w:val="0023476A"/>
    <w:rsid w:val="0027081A"/>
    <w:rsid w:val="002776DC"/>
    <w:rsid w:val="00281163"/>
    <w:rsid w:val="002834C2"/>
    <w:rsid w:val="00291547"/>
    <w:rsid w:val="002C0CFE"/>
    <w:rsid w:val="002C14F6"/>
    <w:rsid w:val="002C1F03"/>
    <w:rsid w:val="002C4DEE"/>
    <w:rsid w:val="002D383E"/>
    <w:rsid w:val="002D5752"/>
    <w:rsid w:val="002E73A5"/>
    <w:rsid w:val="002F5BAF"/>
    <w:rsid w:val="0034708D"/>
    <w:rsid w:val="003530CE"/>
    <w:rsid w:val="0037551E"/>
    <w:rsid w:val="0038196C"/>
    <w:rsid w:val="003A6ACB"/>
    <w:rsid w:val="003B26F8"/>
    <w:rsid w:val="003B7EF8"/>
    <w:rsid w:val="00400584"/>
    <w:rsid w:val="00431712"/>
    <w:rsid w:val="00453322"/>
    <w:rsid w:val="00472427"/>
    <w:rsid w:val="004B390F"/>
    <w:rsid w:val="004C2AD6"/>
    <w:rsid w:val="004F7A17"/>
    <w:rsid w:val="005408A1"/>
    <w:rsid w:val="00551F59"/>
    <w:rsid w:val="00553173"/>
    <w:rsid w:val="0056743C"/>
    <w:rsid w:val="005A29F9"/>
    <w:rsid w:val="005E0130"/>
    <w:rsid w:val="005F58FF"/>
    <w:rsid w:val="00606C30"/>
    <w:rsid w:val="00616F56"/>
    <w:rsid w:val="00620C4C"/>
    <w:rsid w:val="00621A1C"/>
    <w:rsid w:val="00625694"/>
    <w:rsid w:val="00646C80"/>
    <w:rsid w:val="00651203"/>
    <w:rsid w:val="006743E4"/>
    <w:rsid w:val="00694B8C"/>
    <w:rsid w:val="006A09C0"/>
    <w:rsid w:val="006C5373"/>
    <w:rsid w:val="006C5E8F"/>
    <w:rsid w:val="006C70F2"/>
    <w:rsid w:val="006D601C"/>
    <w:rsid w:val="006D7F78"/>
    <w:rsid w:val="00702DD5"/>
    <w:rsid w:val="00706462"/>
    <w:rsid w:val="00737D2D"/>
    <w:rsid w:val="00753BAC"/>
    <w:rsid w:val="00760BE8"/>
    <w:rsid w:val="00787550"/>
    <w:rsid w:val="007B0B36"/>
    <w:rsid w:val="007B4FD3"/>
    <w:rsid w:val="007B5B30"/>
    <w:rsid w:val="007C7115"/>
    <w:rsid w:val="007E461F"/>
    <w:rsid w:val="007F6312"/>
    <w:rsid w:val="00800EC5"/>
    <w:rsid w:val="008102DF"/>
    <w:rsid w:val="00843318"/>
    <w:rsid w:val="00852758"/>
    <w:rsid w:val="00884E14"/>
    <w:rsid w:val="008A14B5"/>
    <w:rsid w:val="008A15DC"/>
    <w:rsid w:val="008D2569"/>
    <w:rsid w:val="008D3D19"/>
    <w:rsid w:val="00911C1E"/>
    <w:rsid w:val="0093269A"/>
    <w:rsid w:val="00934E11"/>
    <w:rsid w:val="0096481A"/>
    <w:rsid w:val="0096694E"/>
    <w:rsid w:val="009A042C"/>
    <w:rsid w:val="009B6F21"/>
    <w:rsid w:val="009C2663"/>
    <w:rsid w:val="009D0B31"/>
    <w:rsid w:val="009D541A"/>
    <w:rsid w:val="00A6629E"/>
    <w:rsid w:val="00A83EDE"/>
    <w:rsid w:val="00AE62B0"/>
    <w:rsid w:val="00B14D7F"/>
    <w:rsid w:val="00B15DBD"/>
    <w:rsid w:val="00B271B8"/>
    <w:rsid w:val="00B47397"/>
    <w:rsid w:val="00B724CE"/>
    <w:rsid w:val="00B75D56"/>
    <w:rsid w:val="00B851E6"/>
    <w:rsid w:val="00B948CF"/>
    <w:rsid w:val="00BB5408"/>
    <w:rsid w:val="00BC06D8"/>
    <w:rsid w:val="00BC4587"/>
    <w:rsid w:val="00BF72D5"/>
    <w:rsid w:val="00C50053"/>
    <w:rsid w:val="00C5268A"/>
    <w:rsid w:val="00C61062"/>
    <w:rsid w:val="00C7686E"/>
    <w:rsid w:val="00CB34D8"/>
    <w:rsid w:val="00CC5632"/>
    <w:rsid w:val="00CD20EA"/>
    <w:rsid w:val="00CF771D"/>
    <w:rsid w:val="00D16F4E"/>
    <w:rsid w:val="00D226DA"/>
    <w:rsid w:val="00D70593"/>
    <w:rsid w:val="00D94D99"/>
    <w:rsid w:val="00DB324A"/>
    <w:rsid w:val="00DC4C8B"/>
    <w:rsid w:val="00DC5D95"/>
    <w:rsid w:val="00DE116E"/>
    <w:rsid w:val="00DF0B2D"/>
    <w:rsid w:val="00E272DD"/>
    <w:rsid w:val="00E415C7"/>
    <w:rsid w:val="00E55468"/>
    <w:rsid w:val="00E62101"/>
    <w:rsid w:val="00E8597A"/>
    <w:rsid w:val="00E90779"/>
    <w:rsid w:val="00EB1F15"/>
    <w:rsid w:val="00EB2C0B"/>
    <w:rsid w:val="00ED1441"/>
    <w:rsid w:val="00EE1F3A"/>
    <w:rsid w:val="00EF0CBF"/>
    <w:rsid w:val="00EF3182"/>
    <w:rsid w:val="00EF7920"/>
    <w:rsid w:val="00F256B2"/>
    <w:rsid w:val="00F54F76"/>
    <w:rsid w:val="00F662C0"/>
    <w:rsid w:val="00F72C3C"/>
    <w:rsid w:val="00F75224"/>
    <w:rsid w:val="00F87F3F"/>
    <w:rsid w:val="00FA026D"/>
    <w:rsid w:val="00FC2984"/>
    <w:rsid w:val="00FC3D8A"/>
    <w:rsid w:val="00FC7D1D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2BF6F704"/>
  <w15:chartTrackingRefBased/>
  <w15:docId w15:val="{0219D3FC-1CAA-45AB-B15A-F7141BC1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6C53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81A"/>
    <w:pPr>
      <w:keepNext/>
      <w:keepLines/>
      <w:spacing w:before="240" w:after="80" w:line="276" w:lineRule="auto"/>
      <w:ind w:left="720" w:hanging="720"/>
      <w:jc w:val="both"/>
      <w:outlineLvl w:val="2"/>
    </w:pPr>
    <w:rPr>
      <w:rFonts w:eastAsia="Times New Roman" w:cs="Times New Roman"/>
      <w:bCs/>
      <w:i/>
      <w:lang w:val="is-I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481A"/>
    <w:pPr>
      <w:keepNext/>
      <w:keepLines/>
      <w:spacing w:before="120" w:after="60" w:line="276" w:lineRule="auto"/>
      <w:ind w:left="864" w:hanging="864"/>
      <w:jc w:val="both"/>
      <w:outlineLvl w:val="3"/>
    </w:pPr>
    <w:rPr>
      <w:rFonts w:eastAsia="Times New Roman" w:cs="Times New Roman"/>
      <w:b/>
      <w:bCs/>
      <w:iCs/>
      <w:lang w:val="is-IS"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481A"/>
    <w:pPr>
      <w:keepNext/>
      <w:keepLines/>
      <w:spacing w:before="120" w:line="276" w:lineRule="auto"/>
      <w:ind w:left="1008" w:hanging="1008"/>
      <w:jc w:val="both"/>
      <w:outlineLvl w:val="4"/>
    </w:pPr>
    <w:rPr>
      <w:rFonts w:eastAsia="Times New Roman" w:cs="Times New Roman"/>
      <w:b/>
      <w:lang w:val="is-IS" w:eastAsia="ja-JP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6481A"/>
    <w:pPr>
      <w:spacing w:line="271" w:lineRule="auto"/>
      <w:ind w:left="1152" w:hanging="1152"/>
      <w:jc w:val="both"/>
      <w:outlineLvl w:val="5"/>
    </w:pPr>
    <w:rPr>
      <w:rFonts w:eastAsia="Times New Roman" w:cs="Times New Roman"/>
      <w:bCs/>
      <w:iCs/>
      <w:color w:val="7F7F7F"/>
      <w:szCs w:val="22"/>
      <w:lang w:val="is-I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6481A"/>
    <w:pPr>
      <w:spacing w:line="276" w:lineRule="auto"/>
      <w:ind w:left="1296" w:hanging="1296"/>
      <w:jc w:val="both"/>
      <w:outlineLvl w:val="6"/>
    </w:pPr>
    <w:rPr>
      <w:rFonts w:eastAsia="Times New Roman" w:cs="Times New Roman"/>
      <w:b/>
      <w:iCs/>
      <w:szCs w:val="22"/>
      <w:lang w:val="is-I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6481A"/>
    <w:pPr>
      <w:spacing w:line="276" w:lineRule="auto"/>
      <w:ind w:left="1440" w:hanging="1440"/>
      <w:jc w:val="both"/>
      <w:outlineLvl w:val="7"/>
    </w:pPr>
    <w:rPr>
      <w:rFonts w:eastAsia="Times New Roman" w:cs="Times New Roman"/>
      <w:b/>
      <w:i/>
      <w:szCs w:val="20"/>
      <w:lang w:val="is-I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6481A"/>
    <w:pPr>
      <w:spacing w:line="276" w:lineRule="auto"/>
      <w:ind w:left="1584" w:hanging="1584"/>
      <w:jc w:val="both"/>
      <w:outlineLvl w:val="8"/>
    </w:pPr>
    <w:rPr>
      <w:rFonts w:eastAsia="Times New Roman" w:cs="Times New Roman"/>
      <w:b/>
      <w:iCs/>
      <w:spacing w:val="5"/>
      <w:szCs w:val="20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AD6"/>
  </w:style>
  <w:style w:type="paragraph" w:styleId="Footer">
    <w:name w:val="footer"/>
    <w:basedOn w:val="Normal"/>
    <w:link w:val="FooterChar"/>
    <w:uiPriority w:val="99"/>
    <w:unhideWhenUsed/>
    <w:rsid w:val="004C2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AD6"/>
  </w:style>
  <w:style w:type="paragraph" w:customStyle="1" w:styleId="Meginml">
    <w:name w:val="Meginmál"/>
    <w:basedOn w:val="BodyText"/>
    <w:qFormat/>
    <w:rsid w:val="007B4FD3"/>
    <w:pPr>
      <w:spacing w:line="280" w:lineRule="exact"/>
      <w:jc w:val="both"/>
    </w:pPr>
    <w:rPr>
      <w:rFonts w:ascii="Syntax LT Std" w:hAnsi="Syntax LT Std"/>
      <w:sz w:val="20"/>
    </w:rPr>
  </w:style>
  <w:style w:type="paragraph" w:styleId="BodyText">
    <w:name w:val="Body Text"/>
    <w:aliases w:val="FME meginmál"/>
    <w:basedOn w:val="Normal"/>
    <w:next w:val="Normal"/>
    <w:link w:val="BodyTextChar"/>
    <w:uiPriority w:val="99"/>
    <w:unhideWhenUsed/>
    <w:rsid w:val="008102DF"/>
    <w:pPr>
      <w:spacing w:after="120"/>
    </w:pPr>
  </w:style>
  <w:style w:type="character" w:customStyle="1" w:styleId="BodyTextChar">
    <w:name w:val="Body Text Char"/>
    <w:aliases w:val="FME meginmál Char"/>
    <w:basedOn w:val="DefaultParagraphFont"/>
    <w:link w:val="BodyText"/>
    <w:uiPriority w:val="99"/>
    <w:rsid w:val="008102DF"/>
    <w:rPr>
      <w:sz w:val="22"/>
    </w:rPr>
  </w:style>
  <w:style w:type="paragraph" w:customStyle="1" w:styleId="DagsetningFME">
    <w:name w:val="Dagsetning FME"/>
    <w:basedOn w:val="Meginml"/>
    <w:rsid w:val="00BF72D5"/>
    <w:pPr>
      <w:jc w:val="right"/>
    </w:pPr>
  </w:style>
  <w:style w:type="paragraph" w:customStyle="1" w:styleId="KaflafyrirsgnsvrtFME">
    <w:name w:val="Kaflafyrirsögn svört FME"/>
    <w:basedOn w:val="Meginml"/>
    <w:rsid w:val="00843318"/>
    <w:pPr>
      <w:spacing w:after="0"/>
    </w:pPr>
    <w:rPr>
      <w:b/>
      <w:sz w:val="28"/>
    </w:rPr>
  </w:style>
  <w:style w:type="paragraph" w:customStyle="1" w:styleId="FyrirsgnrauFMEbaratitill">
    <w:name w:val="Fyrirsögn rauð FME (bara titill)"/>
    <w:basedOn w:val="KaflafyrirsgnsvrtFME"/>
    <w:qFormat/>
    <w:rsid w:val="00A6629E"/>
    <w:pPr>
      <w:spacing w:before="240" w:after="360"/>
    </w:pPr>
    <w:rPr>
      <w:color w:val="940E05"/>
    </w:rPr>
  </w:style>
  <w:style w:type="paragraph" w:customStyle="1" w:styleId="MillifyrirsgnFME">
    <w:name w:val="Millifyrirsögn FME"/>
    <w:basedOn w:val="Heading2"/>
    <w:qFormat/>
    <w:rsid w:val="006C5373"/>
    <w:pPr>
      <w:spacing w:before="200" w:after="120"/>
    </w:pPr>
    <w:rPr>
      <w:rFonts w:ascii="Cambria" w:hAnsi="Cambria"/>
      <w:color w:val="auto"/>
      <w:sz w:val="22"/>
    </w:rPr>
  </w:style>
  <w:style w:type="paragraph" w:customStyle="1" w:styleId="NeanmlsgreinarFME">
    <w:name w:val="Neðanmálsgreinar FME"/>
    <w:basedOn w:val="KaflafyrirsgnsvrtFME"/>
    <w:qFormat/>
    <w:rsid w:val="00016CB1"/>
    <w:pPr>
      <w:spacing w:line="180" w:lineRule="exact"/>
    </w:pPr>
    <w:rPr>
      <w:b w:val="0"/>
      <w:sz w:val="14"/>
    </w:rPr>
  </w:style>
  <w:style w:type="paragraph" w:customStyle="1" w:styleId="KaflaheitiFME">
    <w:name w:val="Kaflaheiti FME"/>
    <w:basedOn w:val="Heading1"/>
    <w:next w:val="Meginml"/>
    <w:qFormat/>
    <w:rsid w:val="007B4FD3"/>
    <w:pPr>
      <w:spacing w:after="200" w:line="290" w:lineRule="exact"/>
    </w:pPr>
    <w:rPr>
      <w:rFonts w:ascii="Syntax LT Std" w:hAnsi="Syntax LT Std"/>
      <w:color w:val="auto"/>
      <w:sz w:val="24"/>
    </w:rPr>
  </w:style>
  <w:style w:type="paragraph" w:customStyle="1" w:styleId="InndregiFME">
    <w:name w:val="Inndregið FME"/>
    <w:basedOn w:val="Meginml"/>
    <w:qFormat/>
    <w:rsid w:val="00D94D99"/>
    <w:pPr>
      <w:numPr>
        <w:numId w:val="1"/>
      </w:numPr>
    </w:pPr>
    <w:rPr>
      <w:lang w:val="is-IS"/>
    </w:rPr>
  </w:style>
  <w:style w:type="paragraph" w:customStyle="1" w:styleId="TitillrauurFME">
    <w:name w:val="Titill rauður FME"/>
    <w:basedOn w:val="FyrirsgnrauFMEbaratitill"/>
    <w:rsid w:val="00646C80"/>
    <w:pPr>
      <w:spacing w:line="432" w:lineRule="exact"/>
    </w:pPr>
    <w:rPr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71D"/>
    <w:rPr>
      <w:rFonts w:asciiTheme="majorHAnsi" w:eastAsiaTheme="majorEastAsia" w:hAnsiTheme="majorHAnsi" w:cstheme="majorBidi"/>
      <w:color w:val="929294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7E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7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7E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6C5373"/>
    <w:rPr>
      <w:rFonts w:asciiTheme="majorHAnsi" w:eastAsiaTheme="majorEastAsia" w:hAnsiTheme="majorHAnsi" w:cstheme="majorBidi"/>
      <w:color w:val="929294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F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97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6481A"/>
    <w:rPr>
      <w:rFonts w:eastAsia="Times New Roman" w:cs="Times New Roman"/>
      <w:bCs/>
      <w:i/>
      <w:lang w:val="is-I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96481A"/>
    <w:rPr>
      <w:rFonts w:eastAsia="Times New Roman" w:cs="Times New Roman"/>
      <w:b/>
      <w:bCs/>
      <w:iCs/>
      <w:lang w:val="is-I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96481A"/>
    <w:rPr>
      <w:rFonts w:eastAsia="Times New Roman" w:cs="Times New Roman"/>
      <w:b/>
      <w:lang w:val="is-IS"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96481A"/>
    <w:rPr>
      <w:rFonts w:eastAsia="Times New Roman" w:cs="Times New Roman"/>
      <w:bCs/>
      <w:iCs/>
      <w:color w:val="7F7F7F"/>
      <w:szCs w:val="22"/>
      <w:lang w:val="is-IS"/>
    </w:rPr>
  </w:style>
  <w:style w:type="character" w:customStyle="1" w:styleId="Heading7Char">
    <w:name w:val="Heading 7 Char"/>
    <w:basedOn w:val="DefaultParagraphFont"/>
    <w:link w:val="Heading7"/>
    <w:uiPriority w:val="9"/>
    <w:rsid w:val="0096481A"/>
    <w:rPr>
      <w:rFonts w:eastAsia="Times New Roman" w:cs="Times New Roman"/>
      <w:b/>
      <w:iCs/>
      <w:szCs w:val="22"/>
      <w:lang w:val="is-IS"/>
    </w:rPr>
  </w:style>
  <w:style w:type="character" w:customStyle="1" w:styleId="Heading8Char">
    <w:name w:val="Heading 8 Char"/>
    <w:basedOn w:val="DefaultParagraphFont"/>
    <w:link w:val="Heading8"/>
    <w:uiPriority w:val="9"/>
    <w:rsid w:val="0096481A"/>
    <w:rPr>
      <w:rFonts w:eastAsia="Times New Roman" w:cs="Times New Roman"/>
      <w:b/>
      <w:i/>
      <w:szCs w:val="20"/>
      <w:lang w:val="is-IS"/>
    </w:rPr>
  </w:style>
  <w:style w:type="character" w:customStyle="1" w:styleId="Heading9Char">
    <w:name w:val="Heading 9 Char"/>
    <w:basedOn w:val="DefaultParagraphFont"/>
    <w:link w:val="Heading9"/>
    <w:uiPriority w:val="9"/>
    <w:rsid w:val="0096481A"/>
    <w:rPr>
      <w:rFonts w:eastAsia="Times New Roman" w:cs="Times New Roman"/>
      <w:b/>
      <w:iCs/>
      <w:spacing w:val="5"/>
      <w:szCs w:val="20"/>
      <w:lang w:val="is-IS"/>
    </w:rPr>
  </w:style>
  <w:style w:type="paragraph" w:customStyle="1" w:styleId="AnnexTI">
    <w:name w:val="AnnexTI"/>
    <w:basedOn w:val="Normal"/>
    <w:rsid w:val="00B724CE"/>
    <w:pPr>
      <w:keepNext/>
      <w:keepLines/>
      <w:suppressAutoHyphens/>
      <w:spacing w:after="160" w:line="200" w:lineRule="exact"/>
      <w:jc w:val="center"/>
    </w:pPr>
    <w:rPr>
      <w:rFonts w:asciiTheme="minorHAnsi" w:eastAsiaTheme="minorEastAsia" w:hAnsiTheme="minorHAnsi"/>
      <w:b/>
      <w:sz w:val="16"/>
      <w:szCs w:val="22"/>
      <w:lang w:val="is-IS"/>
      <w14:ligatures w14:val="standard"/>
    </w:rPr>
  </w:style>
  <w:style w:type="paragraph" w:customStyle="1" w:styleId="TableTitle">
    <w:name w:val="TableTitle"/>
    <w:basedOn w:val="Normal"/>
    <w:next w:val="Normal"/>
    <w:rsid w:val="00B724CE"/>
    <w:pPr>
      <w:keepNext/>
      <w:spacing w:after="12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table" w:customStyle="1" w:styleId="EFTATable">
    <w:name w:val="EFTATable"/>
    <w:basedOn w:val="TableNormal"/>
    <w:uiPriority w:val="99"/>
    <w:rsid w:val="001E5E3E"/>
    <w:pPr>
      <w:spacing w:line="200" w:lineRule="exact"/>
    </w:pPr>
    <w:rPr>
      <w:rFonts w:ascii="Times New Roman" w:eastAsiaTheme="minorEastAsia" w:hAnsi="Times New Roman"/>
      <w:b/>
      <w:i/>
      <w:sz w:val="16"/>
      <w:szCs w:val="22"/>
      <w:lang w:val="is-I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AnnexNumberedText">
    <w:name w:val="AnnexNumberedText"/>
    <w:basedOn w:val="Normal"/>
    <w:rsid w:val="001E5E3E"/>
    <w:pPr>
      <w:spacing w:after="120" w:line="259" w:lineRule="auto"/>
      <w:ind w:left="280" w:hanging="280"/>
    </w:pPr>
    <w:rPr>
      <w:rFonts w:asciiTheme="minorHAnsi" w:eastAsiaTheme="minorEastAsia" w:hAnsiTheme="minorHAnsi"/>
      <w:b/>
      <w:i/>
      <w:szCs w:val="22"/>
      <w:lang w:val="is-IS"/>
      <w14:ligatures w14:val="standard"/>
    </w:rPr>
  </w:style>
  <w:style w:type="paragraph" w:customStyle="1" w:styleId="AnnexTableCellLeft">
    <w:name w:val="AnnexTableCellLeft"/>
    <w:basedOn w:val="Para"/>
    <w:rsid w:val="001E5E3E"/>
    <w:pPr>
      <w:spacing w:after="0"/>
    </w:pPr>
  </w:style>
  <w:style w:type="paragraph" w:customStyle="1" w:styleId="Para">
    <w:name w:val="Para"/>
    <w:rsid w:val="001E5E3E"/>
    <w:pPr>
      <w:spacing w:after="200" w:line="240" w:lineRule="exact"/>
      <w:jc w:val="both"/>
    </w:pPr>
    <w:rPr>
      <w:rFonts w:ascii="Times New Roman" w:eastAsiaTheme="minorEastAsia" w:hAnsi="Times New Roman"/>
      <w:b/>
      <w:i/>
      <w:sz w:val="18"/>
      <w:szCs w:val="22"/>
      <w:lang w:val="is-IS"/>
      <w14:ligatures w14:val="standard"/>
    </w:rPr>
  </w:style>
  <w:style w:type="paragraph" w:customStyle="1" w:styleId="Tflutexti">
    <w:name w:val="Töflutexti"/>
    <w:basedOn w:val="Meginml"/>
    <w:rsid w:val="007B5B30"/>
    <w:pPr>
      <w:spacing w:before="120" w:line="200" w:lineRule="exact"/>
    </w:pPr>
    <w:rPr>
      <w:rFonts w:eastAsiaTheme="minorEastAsia"/>
      <w:sz w:val="16"/>
      <w:szCs w:val="22"/>
      <w:lang w:val="is-IS"/>
    </w:rPr>
  </w:style>
  <w:style w:type="paragraph" w:customStyle="1" w:styleId="Neanmlsgreinar">
    <w:name w:val="Neðanmálsgreinar"/>
    <w:basedOn w:val="NeanmlsgreinarFME"/>
    <w:rsid w:val="00016CB1"/>
    <w:p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Minnisbla&#240;tileiginnota.dotx" TargetMode="External"/></Relationships>
</file>

<file path=word/theme/theme1.xml><?xml version="1.0" encoding="utf-8"?>
<a:theme xmlns:a="http://schemas.openxmlformats.org/drawingml/2006/main" name="Office Theme">
  <a:themeElements>
    <a:clrScheme name="FME litir">
      <a:dk1>
        <a:sysClr val="windowText" lastClr="000000"/>
      </a:dk1>
      <a:lt1>
        <a:srgbClr val="FFFFFF"/>
      </a:lt1>
      <a:dk2>
        <a:srgbClr val="940E05"/>
      </a:dk2>
      <a:lt2>
        <a:srgbClr val="626262"/>
      </a:lt2>
      <a:accent1>
        <a:srgbClr val="C4C4C5"/>
      </a:accent1>
      <a:accent2>
        <a:srgbClr val="B0BB2F"/>
      </a:accent2>
      <a:accent3>
        <a:srgbClr val="2C9ADC"/>
      </a:accent3>
      <a:accent4>
        <a:srgbClr val="005580"/>
      </a:accent4>
      <a:accent5>
        <a:srgbClr val="EC6B10"/>
      </a:accent5>
      <a:accent6>
        <a:srgbClr val="E1DECF"/>
      </a:accent6>
      <a:hlink>
        <a:srgbClr val="505D70"/>
      </a:hlink>
      <a:folHlink>
        <a:srgbClr val="505D7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E3CF12-1A74-4DDE-8B46-34136E40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Minnisblaðtileiginnota</Template>
  <TotalTime>287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Bjarki Vigfússon</dc:creator>
  <cp:keywords/>
  <dc:description/>
  <cp:lastModifiedBy>SÍ Elsa Karen Jónasdóttir</cp:lastModifiedBy>
  <cp:revision>70</cp:revision>
  <cp:lastPrinted>2020-02-10T13:55:00Z</cp:lastPrinted>
  <dcterms:created xsi:type="dcterms:W3CDTF">2020-01-21T10:14:00Z</dcterms:created>
  <dcterms:modified xsi:type="dcterms:W3CDTF">2020-05-05T08:29:00Z</dcterms:modified>
</cp:coreProperties>
</file>